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7B70" w14:textId="77460797" w:rsidR="00CC1F26" w:rsidRPr="00FB6D10" w:rsidRDefault="00CC1F26" w:rsidP="00FB6D10">
      <w:pPr>
        <w:pStyle w:val="Title"/>
        <w:tabs>
          <w:tab w:val="left" w:pos="3645"/>
        </w:tabs>
        <w:rPr>
          <w:b w:val="0"/>
          <w:bCs/>
          <w:color w:val="auto"/>
        </w:rPr>
      </w:pPr>
      <w:r w:rsidRPr="00FB6D10">
        <w:rPr>
          <w:b w:val="0"/>
          <w:bCs/>
          <w:color w:val="auto"/>
        </w:rPr>
        <w:t>Date policy issued:</w:t>
      </w:r>
      <w:r w:rsidR="00FB6D10" w:rsidRPr="00FB6D10">
        <w:rPr>
          <w:b w:val="0"/>
          <w:bCs/>
          <w:color w:val="auto"/>
        </w:rPr>
        <w:t>04/10/2024</w:t>
      </w:r>
    </w:p>
    <w:p w14:paraId="47445FEA" w14:textId="79D28A37" w:rsidR="00CC1F26" w:rsidRPr="00FB6D10" w:rsidRDefault="00CC1F26" w:rsidP="00CC1F26">
      <w:pPr>
        <w:rPr>
          <w:bCs/>
        </w:rPr>
      </w:pPr>
      <w:r w:rsidRPr="00FB6D10">
        <w:rPr>
          <w:bCs/>
        </w:rPr>
        <w:t xml:space="preserve">Date policy last reviewed: </w:t>
      </w:r>
      <w:r w:rsidR="00FB6D10" w:rsidRPr="00FB6D10">
        <w:rPr>
          <w:bCs/>
        </w:rPr>
        <w:t>03/09/2023</w:t>
      </w:r>
    </w:p>
    <w:p w14:paraId="252060F6" w14:textId="77777777" w:rsidR="00CC1F26" w:rsidRPr="00FB6D10" w:rsidRDefault="00CC1F26" w:rsidP="00CC1F26">
      <w:pPr>
        <w:rPr>
          <w:bCs/>
        </w:rPr>
      </w:pPr>
      <w:r w:rsidRPr="00FB6D10">
        <w:rPr>
          <w:bCs/>
        </w:rPr>
        <w:t>This policy will be reviewed every 12 months (as a minimum).</w:t>
      </w:r>
    </w:p>
    <w:p w14:paraId="663485BF" w14:textId="787C9328" w:rsidR="00CC1F26" w:rsidRPr="00FB6D10" w:rsidRDefault="00CC1F26" w:rsidP="00CC1F26">
      <w:pPr>
        <w:rPr>
          <w:bCs/>
        </w:rPr>
      </w:pPr>
      <w:r w:rsidRPr="00FB6D10">
        <w:rPr>
          <w:bCs/>
        </w:rPr>
        <w:t>Review due date:</w:t>
      </w:r>
      <w:r w:rsidR="00FB6D10" w:rsidRPr="00FB6D10">
        <w:rPr>
          <w:bCs/>
        </w:rPr>
        <w:t xml:space="preserve"> 04/09/2025</w:t>
      </w:r>
    </w:p>
    <w:p w14:paraId="07FBDC10" w14:textId="77777777" w:rsidR="00CC1F26" w:rsidRPr="00FB6D10" w:rsidRDefault="00CC1F26" w:rsidP="00CC1F26"/>
    <w:p w14:paraId="643605F6" w14:textId="77777777" w:rsidR="00CC1F26" w:rsidRPr="00FB6D10" w:rsidRDefault="00CC1F26" w:rsidP="00CC1F26"/>
    <w:p w14:paraId="078F9865" w14:textId="77777777" w:rsidR="00CC1F26" w:rsidRPr="00FB6D10" w:rsidRDefault="00CC1F26" w:rsidP="00CC1F26">
      <w:pPr>
        <w:rPr>
          <w:b/>
          <w:bCs/>
        </w:rPr>
      </w:pPr>
      <w:r w:rsidRPr="00FB6D10">
        <w:rPr>
          <w:b/>
          <w:bCs/>
        </w:rPr>
        <w:t>Designated Safeguarding Lead contact details:</w:t>
      </w:r>
    </w:p>
    <w:p w14:paraId="2AD60EFE" w14:textId="77777777" w:rsidR="00CC1F26" w:rsidRPr="00FB6D10" w:rsidRDefault="00CC1F26" w:rsidP="00CC1F26">
      <w:pPr>
        <w:jc w:val="center"/>
      </w:pPr>
    </w:p>
    <w:p w14:paraId="7109F7DE" w14:textId="103CA309" w:rsidR="00CC1F26" w:rsidRPr="00FB6D10" w:rsidRDefault="00CC1F26" w:rsidP="00CC1F26">
      <w:r w:rsidRPr="00FB6D10">
        <w:t>Designated Safeguarding Lead:</w:t>
      </w:r>
      <w:r w:rsidR="00FB6D10" w:rsidRPr="00FB6D10">
        <w:t xml:space="preserve"> Laura Steele</w:t>
      </w:r>
    </w:p>
    <w:p w14:paraId="5068968C" w14:textId="4135FA41" w:rsidR="006675B4" w:rsidRPr="00FB6D10" w:rsidRDefault="00CC1F26" w:rsidP="00FB6D10">
      <w:pPr>
        <w:sectPr w:rsidR="006675B4" w:rsidRPr="00FB6D10" w:rsidSect="005D1E5A">
          <w:headerReference w:type="default" r:id="rId11"/>
          <w:footerReference w:type="default" r:id="rId12"/>
          <w:footerReference w:type="first" r:id="rId13"/>
          <w:pgSz w:w="11906" w:h="16838"/>
          <w:pgMar w:top="1440" w:right="1440" w:bottom="1440" w:left="1440" w:header="708" w:footer="340" w:gutter="0"/>
          <w:pgNumType w:start="0"/>
          <w:cols w:space="708"/>
          <w:titlePg/>
          <w:docGrid w:linePitch="360"/>
        </w:sectPr>
      </w:pPr>
      <w:r w:rsidRPr="00FB6D10">
        <w:t>Designated Safeguarding Lead Contact details:</w:t>
      </w:r>
      <w:r w:rsidR="00FB6D10" w:rsidRPr="00FB6D10">
        <w:t xml:space="preserve"> </w:t>
      </w:r>
      <w:hyperlink r:id="rId14" w:history="1">
        <w:r w:rsidR="00FB6D10" w:rsidRPr="00FB6D10">
          <w:rPr>
            <w:rStyle w:val="Hyperlink"/>
            <w:color w:val="auto"/>
          </w:rPr>
          <w:t>laura@taraprofessionalrecruitment.co.uk</w:t>
        </w:r>
      </w:hyperlink>
      <w:r w:rsidR="00FB6D10" w:rsidRPr="00FB6D10">
        <w:t xml:space="preserve"> / 01952 433833</w:t>
      </w:r>
    </w:p>
    <w:p w14:paraId="6F56E9F0" w14:textId="3F7F8AA6" w:rsidR="00EB7908" w:rsidRPr="00FB6D10" w:rsidRDefault="00EB7908" w:rsidP="00FB6D10">
      <w:pPr>
        <w:spacing w:after="160" w:line="259" w:lineRule="auto"/>
        <w:rPr>
          <w:b/>
          <w:bCs/>
        </w:rPr>
      </w:pPr>
      <w:bookmarkStart w:id="0" w:name="_Toc170644304"/>
      <w:r w:rsidRPr="00FB6D10">
        <w:rPr>
          <w:b/>
          <w:bCs/>
          <w:sz w:val="28"/>
          <w:szCs w:val="28"/>
        </w:rPr>
        <w:lastRenderedPageBreak/>
        <w:t>SAFEGUARDING CHILDREN AND ADULTS AT RISK POLICY</w:t>
      </w:r>
      <w:bookmarkEnd w:id="0"/>
    </w:p>
    <w:p w14:paraId="12673F05" w14:textId="77777777" w:rsidR="00EE217B" w:rsidRPr="00FB6D10" w:rsidRDefault="00EE217B">
      <w:pPr>
        <w:spacing w:after="160" w:line="259" w:lineRule="auto"/>
        <w:jc w:val="left"/>
      </w:pPr>
    </w:p>
    <w:p w14:paraId="644F9F6D" w14:textId="08F5AB29" w:rsidR="00FC74C0" w:rsidRPr="00FB6D10" w:rsidRDefault="2C620888" w:rsidP="00FC74C0">
      <w:pPr>
        <w:pStyle w:val="Heading3"/>
        <w:rPr>
          <w:color w:val="auto"/>
        </w:rPr>
      </w:pPr>
      <w:bookmarkStart w:id="1" w:name="_Toc44670786"/>
      <w:bookmarkStart w:id="2" w:name="_Toc1143307253"/>
      <w:bookmarkStart w:id="3" w:name="_Toc782047948"/>
      <w:bookmarkStart w:id="4" w:name="_Toc1591562057"/>
      <w:bookmarkStart w:id="5" w:name="_Toc2104859013"/>
      <w:bookmarkStart w:id="6" w:name="_Toc1506426268"/>
      <w:bookmarkStart w:id="7" w:name="_Toc225553893"/>
      <w:bookmarkStart w:id="8" w:name="_Toc176797311"/>
      <w:r w:rsidRPr="00FB6D10">
        <w:rPr>
          <w:color w:val="auto"/>
        </w:rPr>
        <w:t>Introduction</w:t>
      </w:r>
      <w:bookmarkEnd w:id="1"/>
      <w:bookmarkEnd w:id="2"/>
      <w:bookmarkEnd w:id="3"/>
      <w:bookmarkEnd w:id="4"/>
      <w:bookmarkEnd w:id="5"/>
      <w:bookmarkEnd w:id="6"/>
      <w:bookmarkEnd w:id="7"/>
      <w:bookmarkEnd w:id="8"/>
    </w:p>
    <w:p w14:paraId="0728457C" w14:textId="38A872D3" w:rsidR="00485897" w:rsidRPr="00FB6D10" w:rsidRDefault="008D3A3A" w:rsidP="00485897">
      <w:r w:rsidRPr="00FB6D10">
        <w:t>Safeguarding is everyone’s responsibility</w:t>
      </w:r>
      <w:r w:rsidR="00B436BF" w:rsidRPr="00FB6D10">
        <w:t xml:space="preserve">. </w:t>
      </w:r>
      <w:r w:rsidR="00FB6D10" w:rsidRPr="00FB6D10">
        <w:t>Tara Professional Recruitment</w:t>
      </w:r>
      <w:r w:rsidR="00485897" w:rsidRPr="00FB6D10">
        <w:t xml:space="preserve"> acknowledges the duty to safeguard and promote the welfare of children </w:t>
      </w:r>
      <w:r w:rsidR="00652DBA" w:rsidRPr="00FB6D10">
        <w:t xml:space="preserve">and adults at risk; </w:t>
      </w:r>
      <w:r w:rsidR="00485897" w:rsidRPr="00FB6D10">
        <w:t>and is committed to ensuring safeguarding practice that reflects statutory responsibilities, government guidance and complies with best practice requirements. All childre</w:t>
      </w:r>
      <w:r w:rsidR="00DA20DA" w:rsidRPr="00FB6D10">
        <w:t>n</w:t>
      </w:r>
      <w:r w:rsidR="00652DBA" w:rsidRPr="00FB6D10">
        <w:t xml:space="preserve"> and adults</w:t>
      </w:r>
      <w:r w:rsidR="00485897" w:rsidRPr="00FB6D10">
        <w:t xml:space="preserve">, regardless of age, disability, gender, racial heritage, religious belief, sexual orientation or identity, have the right to equal protection from all types of harm or abuse. </w:t>
      </w:r>
    </w:p>
    <w:p w14:paraId="2EFE5960" w14:textId="77777777" w:rsidR="00485897" w:rsidRPr="00FB6D10" w:rsidRDefault="00485897" w:rsidP="00485897"/>
    <w:p w14:paraId="2A6042AC" w14:textId="78D0C0F8" w:rsidR="005541C1" w:rsidRPr="00FB6D10" w:rsidRDefault="00485897" w:rsidP="00485897">
      <w:r w:rsidRPr="00FB6D10">
        <w:t xml:space="preserve">This policy applies to all internal staff </w:t>
      </w:r>
      <w:r w:rsidR="005541C1" w:rsidRPr="00FB6D10">
        <w:t xml:space="preserve">and candidates and will be widely promoted and be mandatory for everyone involved in </w:t>
      </w:r>
      <w:r w:rsidR="00FB6D10" w:rsidRPr="00FB6D10">
        <w:t>Tara Professional Recruitment</w:t>
      </w:r>
      <w:r w:rsidR="005541C1" w:rsidRPr="00FB6D10">
        <w:t xml:space="preserve">. Failure to comply with this policy and the company’s safeguarding procedures may result in disciplinary action being taken, including termination of employment and/or contract. </w:t>
      </w:r>
    </w:p>
    <w:p w14:paraId="34BFB76E" w14:textId="6574982C" w:rsidR="00D27A7A" w:rsidRPr="00FB6D10" w:rsidRDefault="00D27A7A" w:rsidP="00485897"/>
    <w:p w14:paraId="3D83B49D" w14:textId="2967C998" w:rsidR="00946B8F" w:rsidRPr="00FB6D10" w:rsidRDefault="00485897" w:rsidP="00485897">
      <w:r w:rsidRPr="00FB6D10">
        <w:t xml:space="preserve">All candidates placed by </w:t>
      </w:r>
      <w:r w:rsidR="00FB6D10" w:rsidRPr="00FB6D10">
        <w:t>Tara Professional Recruitment</w:t>
      </w:r>
      <w:r w:rsidRPr="00FB6D10">
        <w:t xml:space="preserve"> </w:t>
      </w:r>
      <w:r w:rsidR="00946B8F" w:rsidRPr="00FB6D10">
        <w:t xml:space="preserve">are expected </w:t>
      </w:r>
      <w:r w:rsidR="00C104D5" w:rsidRPr="00FB6D10">
        <w:t>to familiarise themselves with arrangements for safeguarding children</w:t>
      </w:r>
      <w:r w:rsidR="00021913" w:rsidRPr="00FB6D10">
        <w:t xml:space="preserve"> and adults at risk</w:t>
      </w:r>
      <w:r w:rsidR="00C104D5" w:rsidRPr="00FB6D10">
        <w:t xml:space="preserve"> in the </w:t>
      </w:r>
      <w:r w:rsidR="0007415D" w:rsidRPr="00FB6D10">
        <w:t>o</w:t>
      </w:r>
      <w:r w:rsidR="00C104D5" w:rsidRPr="00FB6D10">
        <w:t xml:space="preserve">rganisation where they are placed and </w:t>
      </w:r>
      <w:r w:rsidR="00946B8F" w:rsidRPr="00FB6D10">
        <w:t xml:space="preserve">to have a clear understanding regarding abuse and neglect in all forms; including how to identify, respond and report. </w:t>
      </w:r>
    </w:p>
    <w:p w14:paraId="16F395C2" w14:textId="77777777" w:rsidR="00D27A7A" w:rsidRPr="00FB6D10" w:rsidRDefault="00D27A7A" w:rsidP="00D27A7A"/>
    <w:p w14:paraId="19C4EF6C" w14:textId="58F9686E" w:rsidR="00D27A7A" w:rsidRPr="00FB6D10" w:rsidRDefault="005541C1" w:rsidP="00D27A7A">
      <w:r w:rsidRPr="00FB6D10">
        <w:t xml:space="preserve">Here at </w:t>
      </w:r>
      <w:r w:rsidR="00FB6D10" w:rsidRPr="00FB6D10">
        <w:t xml:space="preserve">Tara Professional </w:t>
      </w:r>
      <w:proofErr w:type="gramStart"/>
      <w:r w:rsidR="00FB6D10" w:rsidRPr="00FB6D10">
        <w:t>Recruitment</w:t>
      </w:r>
      <w:proofErr w:type="gramEnd"/>
      <w:r w:rsidRPr="00FB6D10">
        <w:t xml:space="preserve"> we</w:t>
      </w:r>
      <w:r w:rsidR="00D27A7A" w:rsidRPr="00FB6D10">
        <w:t xml:space="preserve"> expect all staff, </w:t>
      </w:r>
      <w:r w:rsidRPr="00FB6D10">
        <w:t xml:space="preserve">and </w:t>
      </w:r>
      <w:r w:rsidR="00D27A7A" w:rsidRPr="00FB6D10">
        <w:t xml:space="preserve">candidates to </w:t>
      </w:r>
      <w:r w:rsidRPr="00FB6D10">
        <w:t xml:space="preserve">follow and </w:t>
      </w:r>
      <w:r w:rsidR="00D27A7A" w:rsidRPr="00FB6D10">
        <w:t>promote good practice</w:t>
      </w:r>
      <w:r w:rsidRPr="00FB6D10">
        <w:t xml:space="preserve"> in safeguarding. In order to do so</w:t>
      </w:r>
      <w:r w:rsidR="0007415D" w:rsidRPr="00FB6D10">
        <w:t>,</w:t>
      </w:r>
      <w:r w:rsidRPr="00FB6D10">
        <w:t xml:space="preserve"> they</w:t>
      </w:r>
      <w:r w:rsidR="00D27A7A" w:rsidRPr="00FB6D10">
        <w:t xml:space="preserve"> should: </w:t>
      </w:r>
    </w:p>
    <w:p w14:paraId="3321C1B3" w14:textId="77777777" w:rsidR="00D27A7A" w:rsidRPr="00FB6D10" w:rsidRDefault="00D27A7A" w:rsidP="00D27A7A"/>
    <w:p w14:paraId="3110C419" w14:textId="06872700" w:rsidR="00D27A7A" w:rsidRPr="00FB6D10" w:rsidRDefault="00190388" w:rsidP="00D27A7A">
      <w:pPr>
        <w:pStyle w:val="ListParagraph"/>
        <w:numPr>
          <w:ilvl w:val="0"/>
          <w:numId w:val="27"/>
        </w:numPr>
        <w:spacing w:after="120" w:line="276" w:lineRule="auto"/>
      </w:pPr>
      <w:r w:rsidRPr="00FB6D10">
        <w:t>R</w:t>
      </w:r>
      <w:r w:rsidR="00D27A7A" w:rsidRPr="00FB6D10">
        <w:t xml:space="preserve">ead, understand, accept and act in accordance with this policy. </w:t>
      </w:r>
    </w:p>
    <w:p w14:paraId="6B3FC547" w14:textId="0D873208" w:rsidR="00D27A7A" w:rsidRPr="00FB6D10" w:rsidRDefault="00D27A7A" w:rsidP="00D27A7A">
      <w:pPr>
        <w:pStyle w:val="ListParagraph"/>
        <w:numPr>
          <w:ilvl w:val="0"/>
          <w:numId w:val="27"/>
        </w:numPr>
        <w:spacing w:after="120" w:line="276" w:lineRule="auto"/>
      </w:pPr>
      <w:r w:rsidRPr="00FB6D10">
        <w:t>Be vigilant and follow professional codes of conduct to maintain professional boundaries</w:t>
      </w:r>
      <w:r w:rsidR="00F33731" w:rsidRPr="00FB6D10">
        <w:t xml:space="preserve"> and safe working practices</w:t>
      </w:r>
      <w:r w:rsidRPr="00FB6D10">
        <w:t>.</w:t>
      </w:r>
    </w:p>
    <w:p w14:paraId="0880189A" w14:textId="07E6A960" w:rsidR="00D27A7A" w:rsidRPr="00FB6D10" w:rsidRDefault="00D27A7A" w:rsidP="00D27A7A">
      <w:pPr>
        <w:pStyle w:val="ListParagraph"/>
        <w:numPr>
          <w:ilvl w:val="0"/>
          <w:numId w:val="27"/>
        </w:numPr>
        <w:spacing w:after="120" w:line="276" w:lineRule="auto"/>
      </w:pPr>
      <w:r w:rsidRPr="00FB6D10">
        <w:t>Report any concerns or disclosures related to the protection and safety of children</w:t>
      </w:r>
      <w:r w:rsidR="00652DBA" w:rsidRPr="00FB6D10">
        <w:t xml:space="preserve"> and adults at risk</w:t>
      </w:r>
      <w:r w:rsidRPr="00FB6D10">
        <w:t>.</w:t>
      </w:r>
    </w:p>
    <w:p w14:paraId="353C7D53" w14:textId="4ACCAC37" w:rsidR="00D27A7A" w:rsidRPr="00FB6D10" w:rsidRDefault="00D27A7A" w:rsidP="00D27A7A">
      <w:pPr>
        <w:pStyle w:val="ListParagraph"/>
        <w:numPr>
          <w:ilvl w:val="0"/>
          <w:numId w:val="27"/>
        </w:numPr>
        <w:spacing w:after="120" w:line="276" w:lineRule="auto"/>
      </w:pPr>
      <w:r w:rsidRPr="00FB6D10">
        <w:t xml:space="preserve">Undertake mandatory </w:t>
      </w:r>
      <w:r w:rsidR="00355A8C" w:rsidRPr="00FB6D10">
        <w:t>safeguarding</w:t>
      </w:r>
      <w:r w:rsidRPr="00FB6D10">
        <w:t xml:space="preserve"> </w:t>
      </w:r>
      <w:r w:rsidR="00345029" w:rsidRPr="00FB6D10">
        <w:t xml:space="preserve">and child protection </w:t>
      </w:r>
      <w:r w:rsidRPr="00FB6D10">
        <w:t>training and awareness sessions where provided.</w:t>
      </w:r>
    </w:p>
    <w:p w14:paraId="2572B47A" w14:textId="6234E32B" w:rsidR="00FC74C0" w:rsidRPr="00FB6D10" w:rsidRDefault="00D27A7A" w:rsidP="00FC74C0">
      <w:pPr>
        <w:pStyle w:val="ListParagraph"/>
        <w:numPr>
          <w:ilvl w:val="0"/>
          <w:numId w:val="27"/>
        </w:numPr>
        <w:spacing w:after="120" w:line="276" w:lineRule="auto"/>
      </w:pPr>
      <w:r w:rsidRPr="00FB6D10">
        <w:t>Help educate learners</w:t>
      </w:r>
      <w:r w:rsidR="00777D7A" w:rsidRPr="00FB6D10">
        <w:t>/</w:t>
      </w:r>
      <w:r w:rsidR="00190D3D" w:rsidRPr="00FB6D10">
        <w:t>s</w:t>
      </w:r>
      <w:r w:rsidR="00777D7A" w:rsidRPr="00FB6D10">
        <w:t>ervice users</w:t>
      </w:r>
      <w:r w:rsidRPr="00FB6D10">
        <w:t xml:space="preserve"> in </w:t>
      </w:r>
      <w:r w:rsidR="005541C1" w:rsidRPr="00FB6D10">
        <w:t xml:space="preserve">placements regarding </w:t>
      </w:r>
      <w:r w:rsidRPr="00FB6D10">
        <w:t xml:space="preserve">matters of keeping safe, </w:t>
      </w:r>
      <w:r w:rsidR="005541C1" w:rsidRPr="00FB6D10">
        <w:t xml:space="preserve">including </w:t>
      </w:r>
      <w:r w:rsidRPr="00FB6D10">
        <w:t>acting as a good role model</w:t>
      </w:r>
      <w:r w:rsidR="00FC74C0" w:rsidRPr="00FB6D10">
        <w:t>.</w:t>
      </w:r>
    </w:p>
    <w:p w14:paraId="3361A8A1" w14:textId="77777777" w:rsidR="002B64F4" w:rsidRPr="00FB6D10" w:rsidRDefault="002B64F4" w:rsidP="002B64F4">
      <w:pPr>
        <w:spacing w:after="120" w:line="276" w:lineRule="auto"/>
      </w:pPr>
      <w:r w:rsidRPr="00FB6D10">
        <w:t>This policy should be read in conjunction with our other relevant safeguarding policies, such as:</w:t>
      </w:r>
    </w:p>
    <w:p w14:paraId="448F0806" w14:textId="77777777" w:rsidR="002B64F4" w:rsidRPr="00FB6D10" w:rsidRDefault="002B64F4" w:rsidP="002B64F4">
      <w:pPr>
        <w:pStyle w:val="ListParagraph"/>
        <w:numPr>
          <w:ilvl w:val="0"/>
          <w:numId w:val="27"/>
        </w:numPr>
        <w:spacing w:after="120" w:line="276" w:lineRule="auto"/>
        <w:rPr>
          <w:rFonts w:cs="Tahoma"/>
        </w:rPr>
      </w:pPr>
      <w:r w:rsidRPr="00FB6D10">
        <w:rPr>
          <w:rFonts w:cs="Tahoma"/>
        </w:rPr>
        <w:t>Health and Safety Policy</w:t>
      </w:r>
    </w:p>
    <w:p w14:paraId="3E33985C" w14:textId="77777777" w:rsidR="002B64F4" w:rsidRPr="00FB6D10" w:rsidRDefault="002B64F4" w:rsidP="002B64F4">
      <w:pPr>
        <w:pStyle w:val="ListParagraph"/>
        <w:numPr>
          <w:ilvl w:val="0"/>
          <w:numId w:val="27"/>
        </w:numPr>
        <w:spacing w:after="120" w:line="276" w:lineRule="auto"/>
        <w:rPr>
          <w:rFonts w:cs="Tahoma"/>
        </w:rPr>
      </w:pPr>
      <w:r w:rsidRPr="00FB6D10">
        <w:rPr>
          <w:rFonts w:cs="Tahoma"/>
        </w:rPr>
        <w:t>Allegations Policy</w:t>
      </w:r>
    </w:p>
    <w:p w14:paraId="5C68D484" w14:textId="77777777" w:rsidR="002B64F4" w:rsidRPr="00FB6D10" w:rsidRDefault="002B64F4" w:rsidP="002B64F4">
      <w:pPr>
        <w:pStyle w:val="ListParagraph"/>
        <w:numPr>
          <w:ilvl w:val="0"/>
          <w:numId w:val="27"/>
        </w:numPr>
        <w:spacing w:after="120" w:line="276" w:lineRule="auto"/>
        <w:rPr>
          <w:rFonts w:cs="Tahoma"/>
        </w:rPr>
      </w:pPr>
      <w:r w:rsidRPr="00FB6D10">
        <w:rPr>
          <w:rFonts w:cs="Tahoma"/>
        </w:rPr>
        <w:t>Complaints Policy</w:t>
      </w:r>
    </w:p>
    <w:p w14:paraId="3CADB6A7" w14:textId="77777777" w:rsidR="002B64F4" w:rsidRPr="00FB6D10" w:rsidRDefault="002B64F4" w:rsidP="002B64F4">
      <w:pPr>
        <w:pStyle w:val="ListParagraph"/>
        <w:numPr>
          <w:ilvl w:val="0"/>
          <w:numId w:val="27"/>
        </w:numPr>
        <w:spacing w:after="120" w:line="276" w:lineRule="auto"/>
        <w:rPr>
          <w:rFonts w:cs="Tahoma"/>
        </w:rPr>
      </w:pPr>
      <w:r w:rsidRPr="00FB6D10">
        <w:rPr>
          <w:rFonts w:cs="Tahoma"/>
        </w:rPr>
        <w:t>Code of Conduct</w:t>
      </w:r>
    </w:p>
    <w:p w14:paraId="6F44F151" w14:textId="77777777" w:rsidR="002B64F4" w:rsidRPr="00FB6D10" w:rsidRDefault="002B64F4" w:rsidP="002B64F4">
      <w:pPr>
        <w:pStyle w:val="ListParagraph"/>
        <w:numPr>
          <w:ilvl w:val="0"/>
          <w:numId w:val="27"/>
        </w:numPr>
        <w:spacing w:after="120" w:line="276" w:lineRule="auto"/>
        <w:rPr>
          <w:rFonts w:cs="Tahoma"/>
        </w:rPr>
      </w:pPr>
      <w:r w:rsidRPr="00FB6D10">
        <w:rPr>
          <w:rFonts w:cs="Tahoma"/>
        </w:rPr>
        <w:t>Safer Recruitment</w:t>
      </w:r>
    </w:p>
    <w:p w14:paraId="42EAA9A9" w14:textId="77777777" w:rsidR="002B64F4" w:rsidRPr="00FB6D10" w:rsidRDefault="002B64F4" w:rsidP="002B64F4">
      <w:pPr>
        <w:pStyle w:val="ListParagraph"/>
        <w:numPr>
          <w:ilvl w:val="0"/>
          <w:numId w:val="27"/>
        </w:numPr>
        <w:spacing w:after="120" w:line="276" w:lineRule="auto"/>
        <w:rPr>
          <w:rFonts w:cs="Tahoma"/>
        </w:rPr>
      </w:pPr>
      <w:r w:rsidRPr="00FB6D10">
        <w:rPr>
          <w:rFonts w:cs="Tahoma"/>
        </w:rPr>
        <w:t>Whistleblowing policy</w:t>
      </w:r>
    </w:p>
    <w:p w14:paraId="048D7D2A" w14:textId="77777777" w:rsidR="00CA2EF4" w:rsidRPr="00FB6D10" w:rsidRDefault="00CA2EF4" w:rsidP="00CA2EF4">
      <w:pPr>
        <w:pStyle w:val="ListParagraph"/>
        <w:spacing w:after="120" w:line="276" w:lineRule="auto"/>
        <w:rPr>
          <w:rFonts w:cs="Tahoma"/>
        </w:rPr>
      </w:pPr>
    </w:p>
    <w:p w14:paraId="5EAE3B07" w14:textId="77777777" w:rsidR="00D122AA" w:rsidRPr="00FB6D10" w:rsidRDefault="00D122AA" w:rsidP="00CA2EF4">
      <w:pPr>
        <w:pStyle w:val="ListParagraph"/>
        <w:spacing w:after="120" w:line="276" w:lineRule="auto"/>
        <w:rPr>
          <w:rFonts w:cs="Tahoma"/>
        </w:rPr>
      </w:pPr>
    </w:p>
    <w:p w14:paraId="69B99F22" w14:textId="77777777" w:rsidR="00D122AA" w:rsidRPr="00FB6D10" w:rsidRDefault="00D122AA" w:rsidP="00CA2EF4">
      <w:pPr>
        <w:pStyle w:val="ListParagraph"/>
        <w:spacing w:after="120" w:line="276" w:lineRule="auto"/>
        <w:rPr>
          <w:rFonts w:cs="Tahoma"/>
        </w:rPr>
      </w:pPr>
    </w:p>
    <w:p w14:paraId="4DAD2CC6" w14:textId="77777777" w:rsidR="00CA2EF4" w:rsidRPr="00FB6D10" w:rsidRDefault="00CA2EF4" w:rsidP="00CA2EF4">
      <w:pPr>
        <w:pStyle w:val="Heading3"/>
        <w:rPr>
          <w:color w:val="auto"/>
        </w:rPr>
      </w:pPr>
      <w:bookmarkStart w:id="9" w:name="_Toc44670791"/>
      <w:bookmarkStart w:id="10" w:name="_Toc176797312"/>
      <w:bookmarkStart w:id="11" w:name="_Toc733657047"/>
      <w:bookmarkStart w:id="12" w:name="_Toc1388628035"/>
      <w:bookmarkStart w:id="13" w:name="_Toc1252015549"/>
      <w:bookmarkStart w:id="14" w:name="_Toc224615111"/>
      <w:bookmarkStart w:id="15" w:name="_Toc1571467028"/>
      <w:bookmarkStart w:id="16" w:name="_Toc1126346820"/>
      <w:r w:rsidRPr="00FB6D10">
        <w:rPr>
          <w:color w:val="auto"/>
        </w:rPr>
        <w:t>Definitions</w:t>
      </w:r>
      <w:bookmarkEnd w:id="9"/>
      <w:bookmarkEnd w:id="10"/>
      <w:r w:rsidRPr="00FB6D10">
        <w:rPr>
          <w:color w:val="auto"/>
        </w:rPr>
        <w:t xml:space="preserve"> </w:t>
      </w:r>
      <w:bookmarkEnd w:id="11"/>
      <w:bookmarkEnd w:id="12"/>
      <w:bookmarkEnd w:id="13"/>
      <w:bookmarkEnd w:id="14"/>
      <w:bookmarkEnd w:id="15"/>
      <w:bookmarkEnd w:id="16"/>
    </w:p>
    <w:p w14:paraId="079B825F" w14:textId="77777777" w:rsidR="00CA2EF4" w:rsidRPr="00FB6D10" w:rsidRDefault="00CA2EF4" w:rsidP="00CA2EF4">
      <w:pPr>
        <w:rPr>
          <w:sz w:val="12"/>
          <w:szCs w:val="12"/>
        </w:rPr>
      </w:pPr>
    </w:p>
    <w:p w14:paraId="79EB40EC" w14:textId="77777777" w:rsidR="00FD0E23" w:rsidRPr="00FB6D10" w:rsidRDefault="00FD0E23" w:rsidP="00FD0E23">
      <w:r w:rsidRPr="00FB6D10">
        <w:rPr>
          <w:b/>
          <w:bCs/>
        </w:rPr>
        <w:lastRenderedPageBreak/>
        <w:t>Child:</w:t>
      </w:r>
      <w:r w:rsidRPr="00FB6D10">
        <w:t xml:space="preserve"> According to the Children Act 1989, a ‘child’ is anyone who has not yet reached their 18</w:t>
      </w:r>
      <w:r w:rsidRPr="00FB6D10">
        <w:rPr>
          <w:vertAlign w:val="superscript"/>
        </w:rPr>
        <w:t>th</w:t>
      </w:r>
      <w:r w:rsidRPr="00FB6D10">
        <w:t xml:space="preserve"> birthday. The fact that a child has reached 16 years of age, is living independently or is in further education, is a member of the armed forces, is in hospital or in custody in the secure estate for children and young people, does not change his or her status or entitlement to services or protection under current legislation. </w:t>
      </w:r>
    </w:p>
    <w:p w14:paraId="51269AF1" w14:textId="77777777" w:rsidR="00FD0E23" w:rsidRPr="00FB6D10" w:rsidRDefault="00FD0E23" w:rsidP="00FD0E23"/>
    <w:p w14:paraId="5112E2A5" w14:textId="77777777" w:rsidR="00FD0E23" w:rsidRPr="00FB6D10" w:rsidRDefault="00FD0E23" w:rsidP="00FD0E23">
      <w:r w:rsidRPr="00FB6D10">
        <w:t>In this policy, the terms ‘child’ and ‘young person’, or ‘children’ and ‘young people’, are used interchangeably to refer to any individual under the age of 18.</w:t>
      </w:r>
    </w:p>
    <w:p w14:paraId="5C8DBEA3" w14:textId="77777777" w:rsidR="00FD0E23" w:rsidRPr="00FB6D10" w:rsidRDefault="00FD0E23" w:rsidP="00FD0E23"/>
    <w:p w14:paraId="3DB1591F" w14:textId="77777777" w:rsidR="00CB137E" w:rsidRPr="00FB6D10" w:rsidRDefault="00CB137E" w:rsidP="00CB137E">
      <w:pPr>
        <w:spacing w:after="120" w:line="276" w:lineRule="auto"/>
      </w:pPr>
      <w:r w:rsidRPr="00FB6D10">
        <w:rPr>
          <w:b/>
          <w:bCs/>
        </w:rPr>
        <w:t>Adult at risk:</w:t>
      </w:r>
      <w:r w:rsidRPr="00FB6D10">
        <w:t xml:space="preserve"> The Care Act 2014 defines an ‘adult at risk’ as an adult who:</w:t>
      </w:r>
    </w:p>
    <w:p w14:paraId="57B4D06E" w14:textId="77777777" w:rsidR="00CB137E" w:rsidRPr="00FB6D10" w:rsidRDefault="00CB137E" w:rsidP="00CB137E">
      <w:pPr>
        <w:numPr>
          <w:ilvl w:val="0"/>
          <w:numId w:val="35"/>
        </w:numPr>
        <w:spacing w:after="120" w:line="276" w:lineRule="auto"/>
      </w:pPr>
      <w:r w:rsidRPr="00FB6D10">
        <w:t xml:space="preserve">has needs for care and support (whether or not the local authority is meeting any of those needs) and. </w:t>
      </w:r>
    </w:p>
    <w:p w14:paraId="4EACE174" w14:textId="77777777" w:rsidR="00CB137E" w:rsidRPr="00FB6D10" w:rsidRDefault="00CB137E" w:rsidP="00CB137E">
      <w:pPr>
        <w:numPr>
          <w:ilvl w:val="0"/>
          <w:numId w:val="35"/>
        </w:numPr>
        <w:spacing w:after="120" w:line="276" w:lineRule="auto"/>
      </w:pPr>
      <w:r w:rsidRPr="00FB6D10">
        <w:t xml:space="preserve">is experiencing, or at risk of, abuse or neglect; and </w:t>
      </w:r>
    </w:p>
    <w:p w14:paraId="595202A5" w14:textId="77777777" w:rsidR="00CB137E" w:rsidRPr="00FB6D10" w:rsidRDefault="00CB137E" w:rsidP="00CB137E">
      <w:pPr>
        <w:numPr>
          <w:ilvl w:val="0"/>
          <w:numId w:val="35"/>
        </w:numPr>
        <w:spacing w:after="120" w:line="276" w:lineRule="auto"/>
      </w:pPr>
      <w:r w:rsidRPr="00FB6D10">
        <w:t>as a result of those care and support needs is unable to protect themselves from either the risk of, or the experience of abuse or neglect.</w:t>
      </w:r>
    </w:p>
    <w:p w14:paraId="37C2B4D8" w14:textId="77777777" w:rsidR="00CB137E" w:rsidRPr="00FB6D10" w:rsidRDefault="00CB137E" w:rsidP="00CB137E">
      <w:r w:rsidRPr="00FB6D10">
        <w:t xml:space="preserve">Abuse and neglect are forms of maltreatment. Somebody may abuse or neglect a child/adult at risk by inflicting harm, or by failing to act to prevent harm. </w:t>
      </w:r>
    </w:p>
    <w:p w14:paraId="5BF9045F" w14:textId="77777777" w:rsidR="00CB137E" w:rsidRPr="00FB6D10" w:rsidRDefault="00CB137E" w:rsidP="00FD0E23"/>
    <w:p w14:paraId="44D7663B" w14:textId="77777777" w:rsidR="00FD0E23" w:rsidRPr="00FB6D10" w:rsidRDefault="00FD0E23" w:rsidP="00FD0E23">
      <w:r w:rsidRPr="00FB6D10">
        <w:rPr>
          <w:b/>
          <w:bCs/>
        </w:rPr>
        <w:t>Harm:</w:t>
      </w:r>
      <w:r w:rsidRPr="00FB6D10">
        <w:t xml:space="preserve"> Abuse and neglect are forms of maltreatment. Somebody may abuse or neglect a child by inflicting harm, or by failing to act to prevent harm. </w:t>
      </w:r>
    </w:p>
    <w:p w14:paraId="1679B84F" w14:textId="77777777" w:rsidR="00FD0E23" w:rsidRPr="00FB6D10" w:rsidRDefault="00FD0E23" w:rsidP="00FD0E23">
      <w:r w:rsidRPr="00FB6D10">
        <w:t>The Children Act 1989 defines ‘harm’ as “ill-treatment or the impairment of health or development”. ‘Development’ means physical, intellectual, emotional, social or behavioural development; ‘health’ means physical or mental health; and ‘ill-treatment’ includes sexual abuse and forms of ill-treatment which are not physical. As a result of the Adoption and Children Act 2002, the definition of harm also includes “impairment suffered by hearing or seeing the ill-treatment of another”</w:t>
      </w:r>
    </w:p>
    <w:p w14:paraId="56A05E21" w14:textId="77777777" w:rsidR="00FD0E23" w:rsidRPr="00FB6D10" w:rsidRDefault="00FD0E23" w:rsidP="00FD0E23"/>
    <w:p w14:paraId="6147F100" w14:textId="77777777" w:rsidR="00FD0E23" w:rsidRPr="00FB6D10" w:rsidRDefault="00FD0E23" w:rsidP="00FD0E23">
      <w:r w:rsidRPr="00FB6D10">
        <w:t>Abuse may be perpetrated by an individual from the child’s school, community, family, those in a position of trust or another child.</w:t>
      </w:r>
    </w:p>
    <w:p w14:paraId="1FF5851D" w14:textId="77777777" w:rsidR="00FD0E23" w:rsidRPr="00FB6D10" w:rsidRDefault="00FD0E23" w:rsidP="00FD0E23"/>
    <w:p w14:paraId="29006388" w14:textId="77777777" w:rsidR="00FD0E23" w:rsidRPr="00FB6D10" w:rsidRDefault="00FD0E23" w:rsidP="00FD0E23">
      <w:r w:rsidRPr="00FB6D10">
        <w:t>All staff should be aware that children can abuse other children (often referred to as peer-on-peer abuse). This is most likely to include but may not be limited to: bullying (including cyberbullying), physical abuse, sexual violence, sexual harassment, up-skirting, sexting (also known as youth produced sexual imagery); and initiation/hazing type violence and rituals.</w:t>
      </w:r>
    </w:p>
    <w:p w14:paraId="0EF72283" w14:textId="77777777" w:rsidR="00FD0E23" w:rsidRPr="00FB6D10" w:rsidRDefault="00FD0E23" w:rsidP="00FD0E23"/>
    <w:p w14:paraId="4341FBEF" w14:textId="77777777" w:rsidR="00EF13CC" w:rsidRPr="00FB6D10" w:rsidRDefault="00EF13CC" w:rsidP="00EF13CC">
      <w:pPr>
        <w:rPr>
          <w:b/>
          <w:bCs/>
          <w:u w:val="single"/>
        </w:rPr>
      </w:pPr>
      <w:r w:rsidRPr="00FB6D10">
        <w:rPr>
          <w:b/>
          <w:bCs/>
          <w:u w:val="single"/>
        </w:rPr>
        <w:t>Categories of abuse - Children</w:t>
      </w:r>
    </w:p>
    <w:p w14:paraId="39F3C7B8" w14:textId="713FA488" w:rsidR="00FD0E23" w:rsidRPr="00FB6D10" w:rsidRDefault="00FD0E23" w:rsidP="00FD0E23">
      <w:r w:rsidRPr="00FB6D10">
        <w:t>Child abuse can be one of the following categories as set put in Working Together to Safeguard Children (202</w:t>
      </w:r>
      <w:r w:rsidR="002574BE" w:rsidRPr="00FB6D10">
        <w:t>3</w:t>
      </w:r>
      <w:r w:rsidRPr="00FB6D10">
        <w:t>):</w:t>
      </w:r>
    </w:p>
    <w:p w14:paraId="5841A64C" w14:textId="77777777" w:rsidR="00FD0E23" w:rsidRPr="00FB6D10" w:rsidRDefault="00FD0E23" w:rsidP="00FD0E23"/>
    <w:p w14:paraId="6995A43F" w14:textId="77777777" w:rsidR="00FD0E23" w:rsidRPr="00FB6D10" w:rsidRDefault="00FD0E23" w:rsidP="00FD0E23">
      <w:pPr>
        <w:rPr>
          <w:bCs/>
        </w:rPr>
      </w:pPr>
      <w:r w:rsidRPr="00FB6D10">
        <w:rPr>
          <w:b/>
        </w:rPr>
        <w:t xml:space="preserve">Abuse: </w:t>
      </w:r>
      <w:r w:rsidRPr="00FB6D10">
        <w:rPr>
          <w:bCs/>
        </w:rP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2CCB01A5" w14:textId="77777777" w:rsidR="00FD0E23" w:rsidRPr="00FB6D10" w:rsidRDefault="00FD0E23" w:rsidP="00FD0E23"/>
    <w:p w14:paraId="030ADAFB" w14:textId="77777777" w:rsidR="00FD0E23" w:rsidRPr="00FB6D10" w:rsidRDefault="00FD0E23" w:rsidP="00FD0E23">
      <w:pPr>
        <w:rPr>
          <w:bCs/>
        </w:rPr>
      </w:pPr>
      <w:r w:rsidRPr="00FB6D10">
        <w:rPr>
          <w:b/>
        </w:rPr>
        <w:t>Domestic Abuse:</w:t>
      </w:r>
      <w:r w:rsidRPr="00FB6D10">
        <w:rPr>
          <w:bCs/>
        </w:rPr>
        <w:t xml:space="preserve"> The Domestic Abuse Act 2021 introduced the first ever statutory definition of domestic abuse (section 1 of the Act). 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 </w:t>
      </w:r>
    </w:p>
    <w:p w14:paraId="527F7FF6" w14:textId="77777777" w:rsidR="00FD0E23" w:rsidRPr="00FB6D10" w:rsidRDefault="00FD0E23" w:rsidP="00FD0E23">
      <w:pPr>
        <w:rPr>
          <w:bCs/>
        </w:rPr>
      </w:pPr>
      <w:r w:rsidRPr="00FB6D10">
        <w:rPr>
          <w:bCs/>
        </w:rPr>
        <w:t xml:space="preserve">Under the statutory definition, both the person who is carrying out the behaviour and the person to whom the behaviour is directed towards must be aged 16 or over and they must be “personally </w:t>
      </w:r>
      <w:r w:rsidRPr="00FB6D10">
        <w:rPr>
          <w:bCs/>
        </w:rPr>
        <w:lastRenderedPageBreak/>
        <w:t xml:space="preserve">connected” (as defined in section 2 of the Domestic Abuse Act 2021). The definition ensures that different types of relationships are captured, including ex-partners and family members. </w:t>
      </w:r>
    </w:p>
    <w:p w14:paraId="005CE3BB" w14:textId="77777777" w:rsidR="00FD0E23" w:rsidRPr="00FB6D10" w:rsidRDefault="00FD0E23" w:rsidP="00FD0E23">
      <w:pPr>
        <w:rPr>
          <w:bCs/>
        </w:rPr>
      </w:pPr>
      <w:r w:rsidRPr="00FB6D10">
        <w:rPr>
          <w:bCs/>
        </w:rPr>
        <w:t xml:space="preserve">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victims in their own right, if they see, hear or experience the effects of abuse. </w:t>
      </w:r>
    </w:p>
    <w:p w14:paraId="06991B82" w14:textId="77777777" w:rsidR="00FD0E23" w:rsidRPr="00FB6D10" w:rsidRDefault="00FD0E23" w:rsidP="00FD0E23">
      <w:pPr>
        <w:rPr>
          <w:bCs/>
        </w:rPr>
      </w:pPr>
      <w:r w:rsidRPr="00FB6D10">
        <w:rPr>
          <w:bCs/>
        </w:rPr>
        <w:t xml:space="preserve">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3AC101E7" w14:textId="77777777" w:rsidR="00FD0E23" w:rsidRPr="00FB6D10" w:rsidRDefault="00FD0E23" w:rsidP="00FD0E23">
      <w:pPr>
        <w:rPr>
          <w:bCs/>
        </w:rPr>
      </w:pPr>
      <w:r w:rsidRPr="00FB6D10">
        <w:rPr>
          <w:bCs/>
        </w:rPr>
        <w:t>The ‘Domestic Abuse Act 2021: statutory guidance’ provides further advice for frontline professionals who have responsibility for safeguarding and supporting victims of domestic abuse, including children. This guidance provides further information about the different forms of domestic abuse (including teenage relationship abuse and child to parent abuse) and the impact of domestic abuse on children.</w:t>
      </w:r>
    </w:p>
    <w:p w14:paraId="3668017F" w14:textId="77777777" w:rsidR="005277F0" w:rsidRPr="00FB6D10" w:rsidRDefault="005277F0" w:rsidP="00FD0E23">
      <w:pPr>
        <w:rPr>
          <w:b/>
        </w:rPr>
      </w:pPr>
    </w:p>
    <w:p w14:paraId="1972BB32" w14:textId="7406729E" w:rsidR="00FD0E23" w:rsidRPr="00FB6D10" w:rsidRDefault="00FD0E23" w:rsidP="00FD0E23">
      <w:r w:rsidRPr="00FB6D10">
        <w:rPr>
          <w:b/>
        </w:rPr>
        <w:t>Physical Abuse</w:t>
      </w:r>
      <w:r w:rsidRPr="00FB6D10">
        <w:t>: 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1842A4E" w14:textId="77777777" w:rsidR="00FD0E23" w:rsidRPr="00FB6D10" w:rsidRDefault="00FD0E23" w:rsidP="00FD0E23"/>
    <w:p w14:paraId="2657D492" w14:textId="77777777" w:rsidR="00FD0E23" w:rsidRPr="00FB6D10" w:rsidRDefault="00FD0E23" w:rsidP="00FD0E23">
      <w:r w:rsidRPr="00FB6D10">
        <w:rPr>
          <w:b/>
        </w:rPr>
        <w:t>Emotional Abuse</w:t>
      </w:r>
      <w:r w:rsidRPr="00FB6D10">
        <w:t>: 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12829D8A" w14:textId="77777777" w:rsidR="00FD0E23" w:rsidRPr="00FB6D10" w:rsidRDefault="00FD0E23" w:rsidP="00FD0E23">
      <w:pPr>
        <w:ind w:left="284"/>
      </w:pPr>
    </w:p>
    <w:p w14:paraId="37E268F6" w14:textId="77777777" w:rsidR="00FD0E23" w:rsidRPr="00FB6D10" w:rsidRDefault="00FD0E23" w:rsidP="00FD0E23">
      <w:r w:rsidRPr="00FB6D10">
        <w:rPr>
          <w:b/>
          <w:bCs/>
        </w:rPr>
        <w:t>Sexual Abuse:</w:t>
      </w:r>
      <w:r w:rsidRPr="00FB6D10">
        <w:t xml:space="preserve"> 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03E17731" w14:textId="77777777" w:rsidR="00FD0E23" w:rsidRPr="00FB6D10" w:rsidRDefault="00FD0E23" w:rsidP="00FD0E23">
      <w:pPr>
        <w:ind w:left="284"/>
      </w:pPr>
    </w:p>
    <w:p w14:paraId="7BA653C3" w14:textId="77777777" w:rsidR="00FD0E23" w:rsidRPr="00FB6D10" w:rsidRDefault="00FD0E23" w:rsidP="00FD0E23">
      <w:r w:rsidRPr="00FB6D10">
        <w:rPr>
          <w:b/>
        </w:rPr>
        <w:t>Neglect</w:t>
      </w:r>
      <w:r w:rsidRPr="00FB6D10">
        <w:t>: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6E84C30" w14:textId="77777777" w:rsidR="00FD0E23" w:rsidRPr="00FB6D10" w:rsidRDefault="00FD0E23" w:rsidP="00FD0E23"/>
    <w:p w14:paraId="08BF9A18" w14:textId="77777777" w:rsidR="00FD0E23" w:rsidRPr="00FB6D10" w:rsidRDefault="00FD0E23" w:rsidP="00FD0E23">
      <w:pPr>
        <w:pStyle w:val="ListParagraph"/>
        <w:numPr>
          <w:ilvl w:val="0"/>
          <w:numId w:val="42"/>
        </w:numPr>
        <w:spacing w:after="120" w:line="276" w:lineRule="auto"/>
        <w:rPr>
          <w:rFonts w:cs="Tahoma"/>
        </w:rPr>
      </w:pPr>
      <w:r w:rsidRPr="00FB6D10">
        <w:rPr>
          <w:rFonts w:cs="Tahoma"/>
        </w:rPr>
        <w:t>provide adequate food, clothing and shelter (including exclusion from home or abandonment);</w:t>
      </w:r>
    </w:p>
    <w:p w14:paraId="3987373A" w14:textId="77777777" w:rsidR="00FD0E23" w:rsidRPr="00FB6D10" w:rsidRDefault="00FD0E23" w:rsidP="00FD0E23">
      <w:pPr>
        <w:pStyle w:val="ListParagraph"/>
        <w:numPr>
          <w:ilvl w:val="0"/>
          <w:numId w:val="42"/>
        </w:numPr>
        <w:spacing w:after="120" w:line="276" w:lineRule="auto"/>
        <w:rPr>
          <w:rFonts w:cs="Tahoma"/>
        </w:rPr>
      </w:pPr>
      <w:r w:rsidRPr="00FB6D10">
        <w:rPr>
          <w:rFonts w:cs="Tahoma"/>
        </w:rPr>
        <w:t>protect a child from physical and emotional harm or danger;</w:t>
      </w:r>
    </w:p>
    <w:p w14:paraId="135E81DE" w14:textId="77777777" w:rsidR="00FD0E23" w:rsidRPr="00FB6D10" w:rsidRDefault="00FD0E23" w:rsidP="00FD0E23">
      <w:pPr>
        <w:pStyle w:val="ListParagraph"/>
        <w:numPr>
          <w:ilvl w:val="0"/>
          <w:numId w:val="42"/>
        </w:numPr>
        <w:spacing w:after="120" w:line="276" w:lineRule="auto"/>
        <w:rPr>
          <w:rFonts w:cs="Tahoma"/>
        </w:rPr>
      </w:pPr>
      <w:r w:rsidRPr="00FB6D10">
        <w:rPr>
          <w:rFonts w:cs="Tahoma"/>
        </w:rPr>
        <w:t xml:space="preserve">ensure adequate supervision (including the use of inadequate caregivers); </w:t>
      </w:r>
    </w:p>
    <w:p w14:paraId="2BA8D44D" w14:textId="77777777" w:rsidR="00FD0E23" w:rsidRPr="00FB6D10" w:rsidRDefault="00FD0E23" w:rsidP="00FD0E23">
      <w:pPr>
        <w:pStyle w:val="ListParagraph"/>
        <w:numPr>
          <w:ilvl w:val="0"/>
          <w:numId w:val="42"/>
        </w:numPr>
        <w:spacing w:after="120" w:line="276" w:lineRule="auto"/>
        <w:rPr>
          <w:rFonts w:cs="Tahoma"/>
        </w:rPr>
      </w:pPr>
      <w:r w:rsidRPr="00FB6D10">
        <w:rPr>
          <w:rFonts w:cs="Tahoma"/>
        </w:rPr>
        <w:t>ensure access to appropriate medical care or treatment; or</w:t>
      </w:r>
    </w:p>
    <w:p w14:paraId="2895F634" w14:textId="059671F3" w:rsidR="00FD0E23" w:rsidRPr="00FB6D10" w:rsidRDefault="00FD0E23" w:rsidP="00F9224C">
      <w:pPr>
        <w:pStyle w:val="ListParagraph"/>
        <w:numPr>
          <w:ilvl w:val="0"/>
          <w:numId w:val="42"/>
        </w:numPr>
        <w:spacing w:after="120" w:line="276" w:lineRule="auto"/>
      </w:pPr>
      <w:r w:rsidRPr="00FB6D10">
        <w:rPr>
          <w:rFonts w:cs="Tahoma"/>
        </w:rPr>
        <w:lastRenderedPageBreak/>
        <w:t>provide suitable education.</w:t>
      </w:r>
    </w:p>
    <w:p w14:paraId="1C12F2FF" w14:textId="77777777" w:rsidR="00FD0E23" w:rsidRPr="00FB6D10" w:rsidRDefault="00FD0E23" w:rsidP="00FD0E23">
      <w:r w:rsidRPr="00FB6D10">
        <w:t>It may also include neglect of, or unresponsiveness to, a child’s basic emotional needs.</w:t>
      </w:r>
    </w:p>
    <w:p w14:paraId="1E00ECC4" w14:textId="77777777" w:rsidR="00FD0E23" w:rsidRPr="00FB6D10" w:rsidRDefault="00FD0E23" w:rsidP="00FD0E23">
      <w:pPr>
        <w:ind w:left="284"/>
      </w:pPr>
    </w:p>
    <w:p w14:paraId="2487E3A9" w14:textId="77777777" w:rsidR="00FD0E23" w:rsidRPr="00FB6D10" w:rsidRDefault="00FD0E23" w:rsidP="00FD0E23">
      <w:r w:rsidRPr="00FB6D10">
        <w:t xml:space="preserve">For detailed guidance on the signs which may indicate abuse and neglect see </w:t>
      </w:r>
      <w:hyperlink r:id="rId15" w:history="1">
        <w:r w:rsidRPr="00FB6D10">
          <w:rPr>
            <w:rStyle w:val="Hyperlink"/>
            <w:color w:val="auto"/>
          </w:rPr>
          <w:t>What to do if you’re worried a child is being abused (2015)</w:t>
        </w:r>
      </w:hyperlink>
      <w:r w:rsidRPr="00FB6D10">
        <w:t xml:space="preserve">. </w:t>
      </w:r>
    </w:p>
    <w:p w14:paraId="49C8ED2A" w14:textId="77777777" w:rsidR="00CA2EF4" w:rsidRPr="00FB6D10" w:rsidRDefault="00CA2EF4" w:rsidP="00CA2EF4"/>
    <w:p w14:paraId="3C3F49B6" w14:textId="77777777" w:rsidR="00CA2EF4" w:rsidRPr="00FB6D10" w:rsidRDefault="00CA2EF4" w:rsidP="00CA2EF4"/>
    <w:p w14:paraId="62FBA2B5" w14:textId="77777777" w:rsidR="00CA2EF4" w:rsidRPr="00FB6D10" w:rsidRDefault="00CA2EF4" w:rsidP="00CA2EF4">
      <w:pPr>
        <w:rPr>
          <w:b/>
          <w:bCs/>
          <w:u w:val="single"/>
        </w:rPr>
      </w:pPr>
      <w:r w:rsidRPr="00FB6D10">
        <w:rPr>
          <w:b/>
          <w:bCs/>
          <w:u w:val="single"/>
        </w:rPr>
        <w:t>Categories of abuse - Adults at risk</w:t>
      </w:r>
    </w:p>
    <w:p w14:paraId="6A9DE08E" w14:textId="77777777" w:rsidR="00CA2EF4" w:rsidRPr="00FB6D10" w:rsidRDefault="00CA2EF4" w:rsidP="00CA2EF4">
      <w:pPr>
        <w:rPr>
          <w:b/>
          <w:bCs/>
        </w:rPr>
      </w:pPr>
      <w:r w:rsidRPr="00FB6D10">
        <w:t>The categories of adult abuse are set out in the Care Act 2014 and are as follows:</w:t>
      </w:r>
    </w:p>
    <w:p w14:paraId="45BC8984" w14:textId="77777777" w:rsidR="00CA2EF4" w:rsidRPr="00FB6D10" w:rsidRDefault="00CA2EF4" w:rsidP="00CA2EF4">
      <w:pPr>
        <w:pStyle w:val="NormalWeb"/>
        <w:rPr>
          <w:b/>
          <w:bCs/>
          <w:lang w:eastAsia="en-US"/>
        </w:rPr>
      </w:pPr>
      <w:r w:rsidRPr="00FB6D10">
        <w:rPr>
          <w:b/>
          <w:bCs/>
          <w:lang w:eastAsia="en-US"/>
        </w:rPr>
        <w:t xml:space="preserve">Physical Abuse: </w:t>
      </w:r>
      <w:r w:rsidRPr="00FB6D10">
        <w:rPr>
          <w:lang w:eastAsia="en-US"/>
        </w:rPr>
        <w:t>i</w:t>
      </w:r>
      <w:r w:rsidRPr="00FB6D10">
        <w:t xml:space="preserve">ncluding assault, hitting, slapping, pushing, misuse of medication, restraint, inappropriate physical sanctions. </w:t>
      </w:r>
    </w:p>
    <w:p w14:paraId="6CF4764D" w14:textId="075CDC80" w:rsidR="00CA2EF4" w:rsidRPr="00FB6D10" w:rsidRDefault="00CA2EF4" w:rsidP="00CA2EF4">
      <w:pPr>
        <w:pStyle w:val="NormalWeb"/>
        <w:rPr>
          <w:b/>
          <w:bCs/>
          <w:lang w:eastAsia="en-US"/>
        </w:rPr>
      </w:pPr>
      <w:r w:rsidRPr="00FB6D10">
        <w:rPr>
          <w:b/>
          <w:bCs/>
          <w:lang w:eastAsia="en-US"/>
        </w:rPr>
        <w:t xml:space="preserve">Domestic </w:t>
      </w:r>
      <w:r w:rsidR="003A3B87" w:rsidRPr="00FB6D10">
        <w:rPr>
          <w:b/>
          <w:bCs/>
          <w:lang w:eastAsia="en-US"/>
        </w:rPr>
        <w:t>Abuse and coercive control</w:t>
      </w:r>
      <w:r w:rsidRPr="00FB6D10">
        <w:rPr>
          <w:b/>
          <w:bCs/>
          <w:lang w:eastAsia="en-US"/>
        </w:rPr>
        <w:t xml:space="preserve">: </w:t>
      </w:r>
      <w:r w:rsidRPr="00FB6D10">
        <w:t>including psychological, physical, sexual, financial, emotional abuse</w:t>
      </w:r>
      <w:r w:rsidR="00E45133" w:rsidRPr="00FB6D10">
        <w:t xml:space="preserve">. It also includes so called “honour” based violence. It can occur between any family </w:t>
      </w:r>
      <w:proofErr w:type="gramStart"/>
      <w:r w:rsidR="00E45133" w:rsidRPr="00FB6D10">
        <w:t>members.</w:t>
      </w:r>
      <w:r w:rsidRPr="00FB6D10">
        <w:t>.</w:t>
      </w:r>
      <w:proofErr w:type="gramEnd"/>
      <w:r w:rsidRPr="00FB6D10">
        <w:t xml:space="preserve"> </w:t>
      </w:r>
    </w:p>
    <w:p w14:paraId="796B50A5" w14:textId="77777777" w:rsidR="00CA2EF4" w:rsidRPr="00FB6D10" w:rsidRDefault="00CA2EF4" w:rsidP="00CA2EF4">
      <w:pPr>
        <w:pStyle w:val="NormalWeb"/>
        <w:rPr>
          <w:b/>
          <w:bCs/>
          <w:lang w:eastAsia="en-US"/>
        </w:rPr>
      </w:pPr>
      <w:r w:rsidRPr="00FB6D10">
        <w:rPr>
          <w:b/>
          <w:bCs/>
          <w:lang w:eastAsia="en-US"/>
        </w:rPr>
        <w:t xml:space="preserve">Sexual Abuse: </w:t>
      </w:r>
      <w:r w:rsidRPr="00FB6D10">
        <w:t xml:space="preserve">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2501C0B4" w14:textId="77777777" w:rsidR="00CA2EF4" w:rsidRPr="00FB6D10" w:rsidRDefault="00CA2EF4" w:rsidP="00CA2EF4">
      <w:pPr>
        <w:pStyle w:val="NormalWeb"/>
        <w:rPr>
          <w:b/>
          <w:bCs/>
          <w:lang w:eastAsia="en-US"/>
        </w:rPr>
      </w:pPr>
      <w:r w:rsidRPr="00FB6D10">
        <w:rPr>
          <w:b/>
          <w:bCs/>
          <w:lang w:eastAsia="en-US"/>
        </w:rPr>
        <w:t xml:space="preserve">Psychological Abuse: </w:t>
      </w:r>
      <w:r w:rsidRPr="00FB6D10">
        <w:t xml:space="preserve">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4F4A8F7C" w14:textId="77777777" w:rsidR="00CA2EF4" w:rsidRPr="00FB6D10" w:rsidRDefault="00CA2EF4" w:rsidP="00CA2EF4">
      <w:pPr>
        <w:pStyle w:val="NormalWeb"/>
        <w:rPr>
          <w:b/>
          <w:bCs/>
          <w:lang w:eastAsia="en-US"/>
        </w:rPr>
      </w:pPr>
      <w:r w:rsidRPr="00FB6D10">
        <w:rPr>
          <w:b/>
          <w:bCs/>
          <w:lang w:eastAsia="en-US"/>
        </w:rPr>
        <w:t xml:space="preserve">Financial or Material Abuse: </w:t>
      </w:r>
      <w:r w:rsidRPr="00FB6D10">
        <w:t xml:space="preserve">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7A6F5692" w14:textId="77777777" w:rsidR="00CA2EF4" w:rsidRPr="00FB6D10" w:rsidRDefault="00CA2EF4" w:rsidP="00CA2EF4">
      <w:pPr>
        <w:pStyle w:val="NormalWeb"/>
        <w:rPr>
          <w:b/>
          <w:bCs/>
          <w:lang w:eastAsia="en-US"/>
        </w:rPr>
      </w:pPr>
      <w:r w:rsidRPr="00FB6D10">
        <w:rPr>
          <w:b/>
          <w:bCs/>
          <w:lang w:eastAsia="en-US"/>
        </w:rPr>
        <w:t xml:space="preserve">Modern Slavery: </w:t>
      </w:r>
      <w:r w:rsidRPr="00FB6D10">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1C5906AB" w14:textId="1083C7AF" w:rsidR="00CA2EF4" w:rsidRPr="00FB6D10" w:rsidRDefault="00CA2EF4" w:rsidP="00CA2EF4">
      <w:pPr>
        <w:pStyle w:val="NormalWeb"/>
        <w:rPr>
          <w:b/>
          <w:bCs/>
          <w:lang w:eastAsia="en-US"/>
        </w:rPr>
      </w:pPr>
      <w:r w:rsidRPr="00FB6D10">
        <w:rPr>
          <w:b/>
          <w:bCs/>
          <w:lang w:eastAsia="en-US"/>
        </w:rPr>
        <w:t xml:space="preserve">Discriminatory Abuse: </w:t>
      </w:r>
      <w:r w:rsidR="003D6384" w:rsidRPr="00FB6D10">
        <w:t xml:space="preserve">discrimination is </w:t>
      </w:r>
      <w:r w:rsidR="00021924" w:rsidRPr="00FB6D10">
        <w:t xml:space="preserve">an </w:t>
      </w:r>
      <w:r w:rsidR="003D6384" w:rsidRPr="00FB6D10">
        <w:t xml:space="preserve">abuse which centres on a difference or perceived difference particularly with respect to race, gender or disability or any of the protected </w:t>
      </w:r>
      <w:r w:rsidR="007444D0" w:rsidRPr="00FB6D10">
        <w:t>characteristics of the Equality Act</w:t>
      </w:r>
      <w:r w:rsidR="00417A29" w:rsidRPr="00FB6D10">
        <w:t xml:space="preserve"> 2010</w:t>
      </w:r>
      <w:r w:rsidR="007444D0" w:rsidRPr="00FB6D10">
        <w:t>.</w:t>
      </w:r>
      <w:r w:rsidRPr="00FB6D10">
        <w:t xml:space="preserve"> </w:t>
      </w:r>
    </w:p>
    <w:p w14:paraId="1E6189B1" w14:textId="77777777" w:rsidR="00CA2EF4" w:rsidRPr="00FB6D10" w:rsidRDefault="00CA2EF4" w:rsidP="00CA2EF4">
      <w:pPr>
        <w:pStyle w:val="NormalWeb"/>
        <w:rPr>
          <w:b/>
          <w:bCs/>
          <w:lang w:eastAsia="en-US"/>
        </w:rPr>
      </w:pPr>
      <w:r w:rsidRPr="00FB6D10">
        <w:rPr>
          <w:b/>
          <w:bCs/>
          <w:lang w:eastAsia="en-US"/>
        </w:rPr>
        <w:t xml:space="preserve">Organisational Abuse: </w:t>
      </w:r>
      <w:r w:rsidRPr="00FB6D10">
        <w:t xml:space="preserve">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14:paraId="1EEC0E4A" w14:textId="5D3E6D85" w:rsidR="00CA2EF4" w:rsidRPr="00FB6D10" w:rsidRDefault="00CA2EF4" w:rsidP="00CA2EF4">
      <w:pPr>
        <w:pStyle w:val="NormalWeb"/>
        <w:rPr>
          <w:b/>
          <w:bCs/>
          <w:lang w:eastAsia="en-US"/>
        </w:rPr>
      </w:pPr>
      <w:r w:rsidRPr="00FB6D10">
        <w:rPr>
          <w:b/>
          <w:bCs/>
          <w:lang w:eastAsia="en-US"/>
        </w:rPr>
        <w:t xml:space="preserve">Neglect and Acts of Omission: </w:t>
      </w:r>
      <w:r w:rsidRPr="00FB6D10">
        <w:t xml:space="preserve">including ignoring medical, emotional or physical care needs, failure to provide access to appropriate health, care and support or educational services, the withholding of the necessities of life, such as medication, adequate nutrition and heating. </w:t>
      </w:r>
    </w:p>
    <w:p w14:paraId="60ECEF31" w14:textId="77777777" w:rsidR="00CA2EF4" w:rsidRPr="00FB6D10" w:rsidRDefault="00CA2EF4" w:rsidP="00CA2EF4">
      <w:pPr>
        <w:pStyle w:val="NormalWeb"/>
      </w:pPr>
      <w:r w:rsidRPr="00FB6D10">
        <w:rPr>
          <w:b/>
          <w:lang w:eastAsia="en-US"/>
        </w:rPr>
        <w:t xml:space="preserve">Self-neglect: </w:t>
      </w:r>
      <w:r w:rsidRPr="00FB6D10">
        <w:t xml:space="preserve">this covers a wide range of behaviour neglecting to care for one’s personal hygiene, health or surroundings and includes behaviour such as hoarding. </w:t>
      </w:r>
    </w:p>
    <w:p w14:paraId="7CA1217C" w14:textId="3A2AFEDA" w:rsidR="00CA2EF4" w:rsidRPr="00FB6D10" w:rsidRDefault="000C4D56" w:rsidP="00CA2EF4">
      <w:pPr>
        <w:rPr>
          <w:rStyle w:val="Hyperlink"/>
          <w:color w:val="auto"/>
        </w:rPr>
      </w:pPr>
      <w:r w:rsidRPr="00FB6D10">
        <w:rPr>
          <w:b/>
          <w:bCs/>
        </w:rPr>
        <w:t xml:space="preserve">Emotional or Psychological </w:t>
      </w:r>
      <w:r w:rsidR="00203A58" w:rsidRPr="00FB6D10">
        <w:rPr>
          <w:b/>
          <w:bCs/>
        </w:rPr>
        <w:t>Abuse</w:t>
      </w:r>
      <w:r w:rsidRPr="00FB6D10">
        <w:rPr>
          <w:b/>
          <w:bCs/>
        </w:rPr>
        <w:t>:</w:t>
      </w:r>
      <w:r w:rsidRPr="00FB6D10">
        <w:t xml:space="preserve"> </w:t>
      </w:r>
      <w:r w:rsidR="008325FA" w:rsidRPr="00FB6D10">
        <w:t>including threats of harm or abandonment, deprivation of contact, humiliation, blaming, controlling, intimidation, coercion, harassment, verbal abuse, isolation or withdrawal</w:t>
      </w:r>
      <w:r w:rsidR="00203A58" w:rsidRPr="00FB6D10">
        <w:t xml:space="preserve"> from services or supportive networks.</w:t>
      </w:r>
      <w:r w:rsidR="00344E6F" w:rsidRPr="00FB6D10">
        <w:t xml:space="preserve"> </w:t>
      </w:r>
      <w:r w:rsidR="00CA2EF4" w:rsidRPr="00FB6D10">
        <w:t xml:space="preserve">Further information can be found at </w:t>
      </w:r>
      <w:hyperlink r:id="rId16" w:history="1">
        <w:r w:rsidR="00CA2EF4" w:rsidRPr="00FB6D10">
          <w:rPr>
            <w:rStyle w:val="Hyperlink"/>
            <w:color w:val="auto"/>
          </w:rPr>
          <w:t>https://www.gov.uk/government/publications/adult-safeguarding-statement-of-government-policy</w:t>
        </w:r>
      </w:hyperlink>
    </w:p>
    <w:p w14:paraId="2BA7B945" w14:textId="2C27F1BB" w:rsidR="000C4D56" w:rsidRPr="00FB6D10" w:rsidRDefault="000C4D56" w:rsidP="00CA2EF4"/>
    <w:p w14:paraId="4C8E8776" w14:textId="77777777" w:rsidR="00CA2EF4" w:rsidRPr="00FB6D10" w:rsidRDefault="00CA2EF4" w:rsidP="00CA2EF4"/>
    <w:p w14:paraId="01EF0AE4" w14:textId="51BF6371" w:rsidR="00485897" w:rsidRPr="00FB6D10" w:rsidRDefault="2C620888" w:rsidP="00485897">
      <w:pPr>
        <w:pStyle w:val="Heading3"/>
        <w:rPr>
          <w:color w:val="auto"/>
        </w:rPr>
      </w:pPr>
      <w:bookmarkStart w:id="17" w:name="_Toc43803160"/>
      <w:bookmarkStart w:id="18" w:name="_Toc43803446"/>
      <w:bookmarkStart w:id="19" w:name="_Toc43803540"/>
      <w:bookmarkStart w:id="20" w:name="_Toc44670152"/>
      <w:bookmarkStart w:id="21" w:name="_Toc44670263"/>
      <w:bookmarkStart w:id="22" w:name="_Toc44670353"/>
      <w:bookmarkStart w:id="23" w:name="_Toc44670424"/>
      <w:bookmarkStart w:id="24" w:name="_Toc44670787"/>
      <w:bookmarkStart w:id="25" w:name="_Toc44670788"/>
      <w:bookmarkStart w:id="26" w:name="_Toc1811062528"/>
      <w:bookmarkStart w:id="27" w:name="_Toc2143794711"/>
      <w:bookmarkStart w:id="28" w:name="_Toc1265366540"/>
      <w:bookmarkStart w:id="29" w:name="_Toc1369970109"/>
      <w:bookmarkStart w:id="30" w:name="_Toc934271256"/>
      <w:bookmarkStart w:id="31" w:name="_Toc734852043"/>
      <w:bookmarkStart w:id="32" w:name="_Toc176797313"/>
      <w:bookmarkEnd w:id="17"/>
      <w:bookmarkEnd w:id="18"/>
      <w:bookmarkEnd w:id="19"/>
      <w:bookmarkEnd w:id="20"/>
      <w:bookmarkEnd w:id="21"/>
      <w:bookmarkEnd w:id="22"/>
      <w:bookmarkEnd w:id="23"/>
      <w:bookmarkEnd w:id="24"/>
      <w:r w:rsidRPr="00FB6D10">
        <w:rPr>
          <w:color w:val="auto"/>
        </w:rPr>
        <w:t>Our Commitment to Safeguarding</w:t>
      </w:r>
      <w:bookmarkEnd w:id="25"/>
      <w:bookmarkEnd w:id="26"/>
      <w:bookmarkEnd w:id="27"/>
      <w:bookmarkEnd w:id="28"/>
      <w:bookmarkEnd w:id="29"/>
      <w:bookmarkEnd w:id="30"/>
      <w:bookmarkEnd w:id="31"/>
      <w:bookmarkEnd w:id="32"/>
    </w:p>
    <w:p w14:paraId="4A81803B" w14:textId="77777777" w:rsidR="00485897" w:rsidRPr="00FB6D10" w:rsidRDefault="00485897" w:rsidP="00485897">
      <w:r w:rsidRPr="00FB6D10">
        <w:t>This policy is designed to meet the above principles by ensuring that:</w:t>
      </w:r>
    </w:p>
    <w:p w14:paraId="65212223" w14:textId="77777777" w:rsidR="00485897" w:rsidRPr="00FB6D10" w:rsidRDefault="00485897" w:rsidP="00485897"/>
    <w:p w14:paraId="473D9571" w14:textId="6933A34B" w:rsidR="00485897" w:rsidRPr="00FB6D10" w:rsidRDefault="00FB6D10">
      <w:pPr>
        <w:pStyle w:val="ListParagraph"/>
        <w:numPr>
          <w:ilvl w:val="0"/>
          <w:numId w:val="28"/>
        </w:numPr>
        <w:spacing w:after="120" w:line="276" w:lineRule="auto"/>
      </w:pPr>
      <w:r w:rsidRPr="00FB6D10">
        <w:t>Tara Professional Recruitment</w:t>
      </w:r>
      <w:r w:rsidR="00A9381E" w:rsidRPr="00FB6D10">
        <w:t xml:space="preserve"> has robust safer recruitment processes that ensures that t</w:t>
      </w:r>
      <w:r w:rsidR="00485897" w:rsidRPr="00FB6D10">
        <w:t xml:space="preserve">hose who are known to be </w:t>
      </w:r>
      <w:r w:rsidR="00925161" w:rsidRPr="00FB6D10">
        <w:t>a risk to children</w:t>
      </w:r>
      <w:r w:rsidR="00652DBA" w:rsidRPr="00FB6D10">
        <w:t xml:space="preserve"> or adults</w:t>
      </w:r>
      <w:r w:rsidR="00485897" w:rsidRPr="00FB6D10">
        <w:t xml:space="preserve"> do not gain access to </w:t>
      </w:r>
      <w:r w:rsidR="00925161" w:rsidRPr="00FB6D10">
        <w:t>them</w:t>
      </w:r>
      <w:r w:rsidR="00A9381E" w:rsidRPr="00FB6D10">
        <w:t>; t</w:t>
      </w:r>
      <w:r w:rsidR="00485897" w:rsidRPr="00FB6D10">
        <w:t>hose who</w:t>
      </w:r>
      <w:r w:rsidR="00925161" w:rsidRPr="00FB6D10">
        <w:t>se actions suggest that they are a risk to children</w:t>
      </w:r>
      <w:r w:rsidR="00652DBA" w:rsidRPr="00FB6D10">
        <w:t>/adults</w:t>
      </w:r>
      <w:r w:rsidR="00925161" w:rsidRPr="00FB6D10">
        <w:t xml:space="preserve"> </w:t>
      </w:r>
      <w:r w:rsidR="00485897" w:rsidRPr="00FB6D10">
        <w:t>are detected at the earliest stage and prevented from continuing to work with children</w:t>
      </w:r>
      <w:r w:rsidR="00652DBA" w:rsidRPr="00FB6D10">
        <w:t>/adults</w:t>
      </w:r>
      <w:r w:rsidR="00A9381E" w:rsidRPr="00FB6D10">
        <w:t>; and that t</w:t>
      </w:r>
      <w:r w:rsidR="00485897" w:rsidRPr="00FB6D10">
        <w:t>hose who intend to do harm are prevented at every possible stage from entering the workforce.</w:t>
      </w:r>
    </w:p>
    <w:p w14:paraId="513145DA" w14:textId="553BA13B" w:rsidR="00A9381E" w:rsidRPr="00FB6D10" w:rsidRDefault="00A9381E" w:rsidP="00A9381E">
      <w:pPr>
        <w:pStyle w:val="ListParagraph"/>
        <w:numPr>
          <w:ilvl w:val="0"/>
          <w:numId w:val="28"/>
        </w:numPr>
        <w:spacing w:after="120" w:line="276" w:lineRule="auto"/>
      </w:pPr>
      <w:r w:rsidRPr="00FB6D10">
        <w:t>Staff and candidates understand their roles and responsibilities in respect of safeguarding and are provided with appropriate learning opportunities to recognise, identify and respond to signs of abuse, neglect and other safeguarding concerns relating to children</w:t>
      </w:r>
      <w:r w:rsidR="00652DBA" w:rsidRPr="00FB6D10">
        <w:t xml:space="preserve"> and adults at risk</w:t>
      </w:r>
      <w:r w:rsidRPr="00FB6D10">
        <w:t>.</w:t>
      </w:r>
    </w:p>
    <w:p w14:paraId="462914B0" w14:textId="5D80E3A0" w:rsidR="00A9381E" w:rsidRPr="00FB6D10" w:rsidRDefault="00A9381E" w:rsidP="00A9381E">
      <w:pPr>
        <w:pStyle w:val="ListParagraph"/>
        <w:numPr>
          <w:ilvl w:val="0"/>
          <w:numId w:val="28"/>
        </w:numPr>
        <w:spacing w:after="120" w:line="276" w:lineRule="auto"/>
      </w:pPr>
      <w:r w:rsidRPr="00FB6D10">
        <w:t>There is an open and transparent culture which enables staff and candidates to raise concerns around children</w:t>
      </w:r>
      <w:r w:rsidR="00652DBA" w:rsidRPr="00FB6D10">
        <w:t>/adults</w:t>
      </w:r>
      <w:r w:rsidR="00915631" w:rsidRPr="00FB6D10">
        <w:t xml:space="preserve"> at risk</w:t>
      </w:r>
      <w:r w:rsidRPr="00FB6D10">
        <w:t>, those that work with children</w:t>
      </w:r>
      <w:r w:rsidR="00652DBA" w:rsidRPr="00FB6D10">
        <w:t>/adults at risk</w:t>
      </w:r>
      <w:r w:rsidRPr="00FB6D10">
        <w:t xml:space="preserve">, and processes within </w:t>
      </w:r>
      <w:r w:rsidR="00FB6D10" w:rsidRPr="00FB6D10">
        <w:t>Tara Professional Recruitment</w:t>
      </w:r>
      <w:r w:rsidRPr="00FB6D10">
        <w:t>.</w:t>
      </w:r>
    </w:p>
    <w:p w14:paraId="730B75FD" w14:textId="618A8AEA" w:rsidR="00485897" w:rsidRPr="00FB6D10" w:rsidRDefault="00485897">
      <w:pPr>
        <w:pStyle w:val="ListParagraph"/>
        <w:numPr>
          <w:ilvl w:val="0"/>
          <w:numId w:val="28"/>
        </w:numPr>
        <w:spacing w:after="120" w:line="276" w:lineRule="auto"/>
      </w:pPr>
      <w:r w:rsidRPr="00FB6D10">
        <w:t xml:space="preserve">It is as simple as possible for an individual to report </w:t>
      </w:r>
      <w:r w:rsidR="00925161" w:rsidRPr="00FB6D10">
        <w:t>concerns about harm or risk</w:t>
      </w:r>
      <w:r w:rsidR="00A9381E" w:rsidRPr="00FB6D10">
        <w:t xml:space="preserve"> and c</w:t>
      </w:r>
      <w:r w:rsidRPr="00FB6D10">
        <w:t xml:space="preserve">lear procedures </w:t>
      </w:r>
      <w:r w:rsidR="00A9381E" w:rsidRPr="00FB6D10">
        <w:t>are</w:t>
      </w:r>
      <w:r w:rsidRPr="00FB6D10">
        <w:t xml:space="preserve"> implemented where </w:t>
      </w:r>
      <w:r w:rsidR="00925161" w:rsidRPr="00FB6D10">
        <w:t xml:space="preserve">safeguarding and </w:t>
      </w:r>
      <w:r w:rsidRPr="00FB6D10">
        <w:t>child</w:t>
      </w:r>
      <w:r w:rsidR="00652DBA" w:rsidRPr="00FB6D10">
        <w:t>/adult</w:t>
      </w:r>
      <w:r w:rsidRPr="00FB6D10">
        <w:t xml:space="preserve"> protection issues arise.</w:t>
      </w:r>
      <w:r w:rsidR="00A9381E" w:rsidRPr="00FB6D10">
        <w:t xml:space="preserve"> Where concerns are reported </w:t>
      </w:r>
      <w:r w:rsidR="00FB6D10" w:rsidRPr="00FB6D10">
        <w:t>Tara Professional Recruitment</w:t>
      </w:r>
      <w:r w:rsidR="00A9381E" w:rsidRPr="00FB6D10">
        <w:t xml:space="preserve"> will ensure that individuals are supported.</w:t>
      </w:r>
    </w:p>
    <w:p w14:paraId="3AAA36F3" w14:textId="6C2D702C" w:rsidR="00CA055D" w:rsidRPr="00FB6D10" w:rsidRDefault="00FB6D10" w:rsidP="00485897">
      <w:pPr>
        <w:pStyle w:val="ListParagraph"/>
        <w:numPr>
          <w:ilvl w:val="0"/>
          <w:numId w:val="28"/>
        </w:numPr>
        <w:spacing w:after="120" w:line="276" w:lineRule="auto"/>
      </w:pPr>
      <w:r w:rsidRPr="00FB6D10">
        <w:t>Tara Professional Recruitment</w:t>
      </w:r>
      <w:r w:rsidR="00485897" w:rsidRPr="00FB6D10">
        <w:t xml:space="preserve"> </w:t>
      </w:r>
      <w:r w:rsidR="00A9381E" w:rsidRPr="00FB6D10">
        <w:t>has robust policies and procedures in place</w:t>
      </w:r>
      <w:r w:rsidR="00CA055D" w:rsidRPr="00FB6D10">
        <w:t>, which are reviewed and updated at least every 12 months.</w:t>
      </w:r>
    </w:p>
    <w:p w14:paraId="6F589D6B" w14:textId="656FA790" w:rsidR="00485897" w:rsidRPr="00FB6D10" w:rsidRDefault="00FB6D10" w:rsidP="00485897">
      <w:pPr>
        <w:pStyle w:val="ListParagraph"/>
        <w:numPr>
          <w:ilvl w:val="0"/>
          <w:numId w:val="28"/>
        </w:numPr>
        <w:spacing w:after="120" w:line="276" w:lineRule="auto"/>
      </w:pPr>
      <w:r w:rsidRPr="00FB6D10">
        <w:t>Tara Professional Recruitment</w:t>
      </w:r>
      <w:r w:rsidR="00CA055D" w:rsidRPr="00FB6D10">
        <w:t xml:space="preserve"> </w:t>
      </w:r>
      <w:r w:rsidR="00485897" w:rsidRPr="00FB6D10">
        <w:t>stays up to date with developments on safeguarding best practice, reporting and auditing</w:t>
      </w:r>
      <w:r w:rsidR="00925161" w:rsidRPr="00FB6D10">
        <w:t xml:space="preserve"> </w:t>
      </w:r>
      <w:r w:rsidR="00485897" w:rsidRPr="00FB6D10">
        <w:t xml:space="preserve">safeguarding activities annually and </w:t>
      </w:r>
      <w:r w:rsidR="00CA055D" w:rsidRPr="00FB6D10">
        <w:t>addressing any areas for improvement.</w:t>
      </w:r>
    </w:p>
    <w:p w14:paraId="29BD3B48" w14:textId="3FCC541B" w:rsidR="00A9381E" w:rsidRPr="00FB6D10" w:rsidRDefault="00FB6D10" w:rsidP="00A9381E">
      <w:pPr>
        <w:pStyle w:val="ListParagraph"/>
        <w:numPr>
          <w:ilvl w:val="0"/>
          <w:numId w:val="28"/>
        </w:numPr>
        <w:spacing w:after="120" w:line="276" w:lineRule="auto"/>
      </w:pPr>
      <w:r w:rsidRPr="00FB6D10">
        <w:t>Tara Professional Recruitment</w:t>
      </w:r>
      <w:r w:rsidR="00A9381E" w:rsidRPr="00FB6D10">
        <w:t xml:space="preserve"> will report any concerns regarding any individual, or any potential safeguarding situation that it becomes aware of as soon as practicable to the appropriate authority</w:t>
      </w:r>
      <w:r w:rsidR="00CA055D" w:rsidRPr="00FB6D10">
        <w:t xml:space="preserve"> and will co-operate in any ongoing investigations or assessments</w:t>
      </w:r>
      <w:r w:rsidR="00A9381E" w:rsidRPr="00FB6D10">
        <w:t>.</w:t>
      </w:r>
    </w:p>
    <w:p w14:paraId="359C038A" w14:textId="10233232" w:rsidR="00485897" w:rsidRPr="00FB6D10" w:rsidRDefault="00FB6D10" w:rsidP="00485897">
      <w:pPr>
        <w:pStyle w:val="ListParagraph"/>
        <w:numPr>
          <w:ilvl w:val="0"/>
          <w:numId w:val="28"/>
        </w:numPr>
        <w:spacing w:after="120" w:line="276" w:lineRule="auto"/>
      </w:pPr>
      <w:r w:rsidRPr="00FB6D10">
        <w:t>Tara Professional Recruitment</w:t>
      </w:r>
      <w:r w:rsidR="00925161" w:rsidRPr="00FB6D10">
        <w:t xml:space="preserve"> </w:t>
      </w:r>
      <w:r w:rsidR="005541C1" w:rsidRPr="00FB6D10">
        <w:t>will</w:t>
      </w:r>
      <w:r w:rsidR="00925161" w:rsidRPr="00FB6D10">
        <w:t xml:space="preserve"> work in partnership with other services (including local authority children’s </w:t>
      </w:r>
      <w:r w:rsidR="00652DBA" w:rsidRPr="00FB6D10">
        <w:t xml:space="preserve">and adult </w:t>
      </w:r>
      <w:r w:rsidR="00925161" w:rsidRPr="00FB6D10">
        <w:t>social care) to ensure that those who</w:t>
      </w:r>
      <w:r w:rsidR="00485897" w:rsidRPr="00FB6D10">
        <w:t xml:space="preserve"> are identified as being at risk of abuse are </w:t>
      </w:r>
      <w:r w:rsidR="00925161" w:rsidRPr="00FB6D10">
        <w:t>protected</w:t>
      </w:r>
      <w:r w:rsidR="00485897" w:rsidRPr="00FB6D10">
        <w:t>.</w:t>
      </w:r>
    </w:p>
    <w:p w14:paraId="13AD8D19" w14:textId="66619358" w:rsidR="007F6962" w:rsidRPr="00FB6D10" w:rsidRDefault="00FB6D10" w:rsidP="007F6962">
      <w:pPr>
        <w:pStyle w:val="ListParagraph"/>
        <w:numPr>
          <w:ilvl w:val="0"/>
          <w:numId w:val="28"/>
        </w:numPr>
        <w:rPr>
          <w:rFonts w:cs="Tahoma"/>
        </w:rPr>
      </w:pPr>
      <w:r w:rsidRPr="00FB6D10">
        <w:rPr>
          <w:rFonts w:cs="Tahoma"/>
        </w:rPr>
        <w:t>Tara Professional Recruitment</w:t>
      </w:r>
      <w:r w:rsidR="007F6962" w:rsidRPr="00FB6D10">
        <w:rPr>
          <w:rFonts w:cs="Tahoma"/>
        </w:rPr>
        <w:t xml:space="preserve"> will ensure that staff has access to all relevant training that meets local and national safeguarding requirements. </w:t>
      </w:r>
    </w:p>
    <w:p w14:paraId="2296BE70" w14:textId="77777777" w:rsidR="007F6962" w:rsidRPr="00FB6D10" w:rsidRDefault="007F6962" w:rsidP="00F9224C">
      <w:pPr>
        <w:pStyle w:val="ListParagraph"/>
        <w:rPr>
          <w:rFonts w:cs="Tahoma"/>
        </w:rPr>
      </w:pPr>
    </w:p>
    <w:p w14:paraId="08731087" w14:textId="0D356E23" w:rsidR="00485897" w:rsidRPr="00FB6D10" w:rsidRDefault="00C47733" w:rsidP="00BA1D93">
      <w:pPr>
        <w:pStyle w:val="ListParagraph"/>
        <w:numPr>
          <w:ilvl w:val="0"/>
          <w:numId w:val="28"/>
        </w:numPr>
        <w:spacing w:after="120" w:line="276" w:lineRule="auto"/>
      </w:pPr>
      <w:r w:rsidRPr="00FB6D10">
        <w:t>C</w:t>
      </w:r>
      <w:r w:rsidR="00A9381E" w:rsidRPr="00FB6D10">
        <w:t>onfidential, detailed and accurate records of all safeguarding concerns are maintained and securely stored.</w:t>
      </w:r>
    </w:p>
    <w:p w14:paraId="55CEE15F" w14:textId="77777777" w:rsidR="00FC74C0" w:rsidRPr="00FB6D10" w:rsidRDefault="00FC74C0" w:rsidP="00FC74C0">
      <w:pPr>
        <w:pStyle w:val="ListParagraph"/>
        <w:spacing w:after="120" w:line="276" w:lineRule="auto"/>
        <w:rPr>
          <w:sz w:val="16"/>
          <w:szCs w:val="20"/>
        </w:rPr>
      </w:pPr>
    </w:p>
    <w:p w14:paraId="3D4C351F" w14:textId="77777777" w:rsidR="00344E6F" w:rsidRPr="00FB6D10" w:rsidRDefault="00344E6F" w:rsidP="00FB6D10">
      <w:pPr>
        <w:spacing w:after="120" w:line="276" w:lineRule="auto"/>
        <w:rPr>
          <w:sz w:val="16"/>
        </w:rPr>
      </w:pPr>
    </w:p>
    <w:p w14:paraId="480C4EA0" w14:textId="7B11803F" w:rsidR="005541C1" w:rsidRPr="00FB6D10" w:rsidRDefault="2C620888" w:rsidP="005541C1">
      <w:pPr>
        <w:pStyle w:val="Heading3"/>
        <w:rPr>
          <w:color w:val="auto"/>
        </w:rPr>
      </w:pPr>
      <w:bookmarkStart w:id="33" w:name="_Toc44670790"/>
      <w:bookmarkStart w:id="34" w:name="_Toc1345601166"/>
      <w:bookmarkStart w:id="35" w:name="_Toc183265441"/>
      <w:bookmarkStart w:id="36" w:name="_Toc747676073"/>
      <w:bookmarkStart w:id="37" w:name="_Toc2060496131"/>
      <w:bookmarkStart w:id="38" w:name="_Toc1124264327"/>
      <w:bookmarkStart w:id="39" w:name="_Toc1224672777"/>
      <w:bookmarkStart w:id="40" w:name="_Toc176797314"/>
      <w:bookmarkStart w:id="41" w:name="_Toc43803162"/>
      <w:r w:rsidRPr="00FB6D10">
        <w:rPr>
          <w:color w:val="auto"/>
        </w:rPr>
        <w:t xml:space="preserve">The role of the Designated Safeguarding </w:t>
      </w:r>
      <w:r w:rsidR="0066465F" w:rsidRPr="00FB6D10">
        <w:rPr>
          <w:color w:val="auto"/>
        </w:rPr>
        <w:t xml:space="preserve">Lead </w:t>
      </w:r>
      <w:bookmarkEnd w:id="33"/>
      <w:bookmarkEnd w:id="34"/>
      <w:bookmarkEnd w:id="35"/>
      <w:bookmarkEnd w:id="36"/>
      <w:bookmarkEnd w:id="37"/>
      <w:bookmarkEnd w:id="38"/>
      <w:bookmarkEnd w:id="39"/>
      <w:bookmarkEnd w:id="40"/>
    </w:p>
    <w:p w14:paraId="112C783E" w14:textId="6B765738" w:rsidR="00637DCD" w:rsidRPr="00FB6D10" w:rsidRDefault="00637DCD" w:rsidP="00637DCD">
      <w:pPr>
        <w:spacing w:after="120" w:line="276" w:lineRule="auto"/>
        <w:rPr>
          <w:lang w:val="en-US"/>
        </w:rPr>
      </w:pPr>
      <w:r w:rsidRPr="00FB6D10">
        <w:rPr>
          <w:lang w:val="en-US"/>
        </w:rPr>
        <w:t xml:space="preserve">The Designated Safeguarding Lead (DSL) is a senior member of staff of </w:t>
      </w:r>
      <w:r w:rsidR="00FB6D10" w:rsidRPr="00FB6D10">
        <w:rPr>
          <w:lang w:val="en-US"/>
        </w:rPr>
        <w:t>Tara Professional Recruitment</w:t>
      </w:r>
      <w:r w:rsidRPr="00FB6D10">
        <w:rPr>
          <w:lang w:val="en-US"/>
        </w:rPr>
        <w:t xml:space="preserve"> with the necessary knowledge, experience, and training to take the lead responsibility for safeguarding and child protection. </w:t>
      </w:r>
    </w:p>
    <w:p w14:paraId="0EFB2745" w14:textId="77777777" w:rsidR="00637DCD" w:rsidRPr="00FB6D10" w:rsidRDefault="00637DCD" w:rsidP="00637DCD">
      <w:pPr>
        <w:spacing w:after="120" w:line="276" w:lineRule="auto"/>
        <w:rPr>
          <w:lang w:val="en-US"/>
        </w:rPr>
      </w:pPr>
      <w:r w:rsidRPr="00FB6D10">
        <w:rPr>
          <w:lang w:val="en-US"/>
        </w:rPr>
        <w:t>The DSL is the point of contact for anyone in the business who is concerned about a child.</w:t>
      </w:r>
    </w:p>
    <w:p w14:paraId="4F841C5B" w14:textId="77777777" w:rsidR="00663920" w:rsidRPr="00FB6D10" w:rsidRDefault="00663920" w:rsidP="00663920">
      <w:pPr>
        <w:rPr>
          <w:sz w:val="14"/>
          <w:szCs w:val="14"/>
        </w:rPr>
      </w:pPr>
    </w:p>
    <w:p w14:paraId="48AAD453" w14:textId="044B0015" w:rsidR="005541C1" w:rsidRPr="00FB6D10" w:rsidRDefault="005541C1">
      <w:pPr>
        <w:spacing w:after="120" w:line="276" w:lineRule="auto"/>
      </w:pPr>
      <w:r w:rsidRPr="00FB6D10">
        <w:t>The role of the</w:t>
      </w:r>
      <w:r w:rsidRPr="00FB6D10">
        <w:rPr>
          <w:b/>
        </w:rPr>
        <w:t xml:space="preserve"> </w:t>
      </w:r>
      <w:r w:rsidR="0066465F" w:rsidRPr="00FB6D10">
        <w:t xml:space="preserve">DSL </w:t>
      </w:r>
      <w:r w:rsidRPr="00FB6D10">
        <w:t>includes:</w:t>
      </w:r>
    </w:p>
    <w:p w14:paraId="5CA04BAB" w14:textId="4614EF69" w:rsidR="005541C1" w:rsidRPr="00FB6D10" w:rsidRDefault="005541C1">
      <w:pPr>
        <w:numPr>
          <w:ilvl w:val="0"/>
          <w:numId w:val="35"/>
        </w:numPr>
        <w:spacing w:after="120" w:line="276" w:lineRule="auto"/>
      </w:pPr>
      <w:r w:rsidRPr="00FB6D10">
        <w:lastRenderedPageBreak/>
        <w:t xml:space="preserve">Ensuring that all relevant staff and candidates have received </w:t>
      </w:r>
      <w:r w:rsidR="00F95961" w:rsidRPr="00FB6D10">
        <w:t xml:space="preserve">at induction </w:t>
      </w:r>
      <w:r w:rsidRPr="00FB6D10">
        <w:t xml:space="preserve">safeguarding </w:t>
      </w:r>
      <w:r w:rsidR="00D13461" w:rsidRPr="00FB6D10">
        <w:t xml:space="preserve">and child protection </w:t>
      </w:r>
      <w:r w:rsidRPr="00FB6D10">
        <w:t xml:space="preserve">training </w:t>
      </w:r>
      <w:r w:rsidR="001226B4" w:rsidRPr="00FB6D10">
        <w:t>(including online safety which, amongst other things, includes an understanding of the expectations, app</w:t>
      </w:r>
      <w:r w:rsidR="00F95961" w:rsidRPr="00FB6D10">
        <w:t xml:space="preserve">licable roles and responsibilities in relation to filtering and monitoring) </w:t>
      </w:r>
      <w:r w:rsidRPr="00FB6D10">
        <w:t>appropriate to their role and contin</w:t>
      </w:r>
      <w:r w:rsidR="006C29F7" w:rsidRPr="00FB6D10">
        <w:t>ue</w:t>
      </w:r>
      <w:r w:rsidRPr="00FB6D10">
        <w:t xml:space="preserve"> receiving training to enable the development of skills and good practice when working with children</w:t>
      </w:r>
      <w:r w:rsidR="009F31F8" w:rsidRPr="00FB6D10">
        <w:t>/adults at risk</w:t>
      </w:r>
      <w:r w:rsidRPr="00FB6D10">
        <w:t>.</w:t>
      </w:r>
    </w:p>
    <w:p w14:paraId="0C83BEF5" w14:textId="77777777" w:rsidR="005541C1" w:rsidRPr="00FB6D10" w:rsidRDefault="005541C1">
      <w:pPr>
        <w:numPr>
          <w:ilvl w:val="0"/>
          <w:numId w:val="35"/>
        </w:numPr>
        <w:spacing w:after="120" w:line="276" w:lineRule="auto"/>
      </w:pPr>
      <w:r w:rsidRPr="00FB6D10">
        <w:t>Receiving and responding appropriately to all reports of safeguarding issues or abuse which are raised by staff members, partner agencies or candidates.</w:t>
      </w:r>
    </w:p>
    <w:p w14:paraId="35417CB2" w14:textId="25F66684" w:rsidR="005541C1" w:rsidRPr="00FB6D10" w:rsidRDefault="005541C1">
      <w:pPr>
        <w:numPr>
          <w:ilvl w:val="0"/>
          <w:numId w:val="35"/>
        </w:numPr>
        <w:spacing w:after="120" w:line="276" w:lineRule="auto"/>
      </w:pPr>
      <w:r w:rsidRPr="00FB6D10">
        <w:t>Ensuring that confidential, detailed and accurate records are kept of any concerns, reports or referrals related to candidates or children</w:t>
      </w:r>
      <w:r w:rsidR="009F31F8" w:rsidRPr="00FB6D10">
        <w:t>/adults at risk</w:t>
      </w:r>
      <w:r w:rsidRPr="00FB6D10">
        <w:t xml:space="preserve"> that they work with.</w:t>
      </w:r>
    </w:p>
    <w:p w14:paraId="2C597B47" w14:textId="08FFA612" w:rsidR="005541C1" w:rsidRPr="00FB6D10" w:rsidRDefault="005541C1">
      <w:pPr>
        <w:pStyle w:val="ListParagraph"/>
        <w:numPr>
          <w:ilvl w:val="0"/>
          <w:numId w:val="35"/>
        </w:numPr>
        <w:spacing w:after="120" w:line="276" w:lineRule="auto"/>
        <w:rPr>
          <w:b/>
          <w:bCs/>
        </w:rPr>
      </w:pPr>
      <w:r w:rsidRPr="00FB6D10">
        <w:t>Liaising with Designated Safeguarding Leads in partner organisations.</w:t>
      </w:r>
    </w:p>
    <w:p w14:paraId="7FDB189F" w14:textId="77777777" w:rsidR="005541C1" w:rsidRPr="00FB6D10" w:rsidRDefault="005541C1">
      <w:pPr>
        <w:numPr>
          <w:ilvl w:val="0"/>
          <w:numId w:val="35"/>
        </w:numPr>
        <w:spacing w:after="120" w:line="276" w:lineRule="auto"/>
      </w:pPr>
      <w:r w:rsidRPr="00FB6D10">
        <w:t>Acting as a source of support, advice and expertise for staff and candidates with concerns and liaising with other agencies and professionals.</w:t>
      </w:r>
    </w:p>
    <w:p w14:paraId="62788D1D" w14:textId="3D385EDC" w:rsidR="009F31F8" w:rsidRPr="00FB6D10" w:rsidRDefault="005541C1">
      <w:pPr>
        <w:numPr>
          <w:ilvl w:val="0"/>
          <w:numId w:val="35"/>
        </w:numPr>
        <w:spacing w:after="120" w:line="276" w:lineRule="auto"/>
      </w:pPr>
      <w:r w:rsidRPr="00FB6D10">
        <w:t>Supporting staff and candidates involved in safeguarding incidents and assisting them in challenging or reporting poor or unsafe practice.</w:t>
      </w:r>
    </w:p>
    <w:p w14:paraId="25FC51EF" w14:textId="0EEA2917" w:rsidR="009F31F8" w:rsidRPr="00FB6D10" w:rsidRDefault="005541C1">
      <w:pPr>
        <w:numPr>
          <w:ilvl w:val="0"/>
          <w:numId w:val="35"/>
        </w:numPr>
        <w:spacing w:after="120" w:line="276" w:lineRule="auto"/>
      </w:pPr>
      <w:r w:rsidRPr="00FB6D10">
        <w:t xml:space="preserve">Referring any allegations of abuse or safeguarding concerns to the relevant children </w:t>
      </w:r>
      <w:r w:rsidR="009F31F8" w:rsidRPr="00FB6D10">
        <w:t xml:space="preserve">or adult </w:t>
      </w:r>
      <w:r w:rsidRPr="00FB6D10">
        <w:t>social care</w:t>
      </w:r>
      <w:r w:rsidR="005A65B9" w:rsidRPr="00FB6D10">
        <w:t xml:space="preserve"> and if relevant, the police and/or the Local Authority’s Designated Officer</w:t>
      </w:r>
      <w:r w:rsidR="00113FCC" w:rsidRPr="00FB6D10">
        <w:t xml:space="preserve"> (LADO)</w:t>
      </w:r>
      <w:r w:rsidR="005A65B9" w:rsidRPr="00FB6D10">
        <w:t>. I</w:t>
      </w:r>
      <w:r w:rsidR="00552B13" w:rsidRPr="00FB6D10">
        <w:t>n order to do this</w:t>
      </w:r>
      <w:r w:rsidR="00113FCC" w:rsidRPr="00FB6D10">
        <w:t>,</w:t>
      </w:r>
      <w:r w:rsidR="00552B13" w:rsidRPr="00FB6D10">
        <w:t xml:space="preserve"> the </w:t>
      </w:r>
      <w:r w:rsidR="00F60DBD" w:rsidRPr="00FB6D10">
        <w:t xml:space="preserve">DSL </w:t>
      </w:r>
      <w:r w:rsidR="00552B13" w:rsidRPr="00FB6D10">
        <w:t>will need to consult the Local Safeguarding Partnership Arrangements</w:t>
      </w:r>
      <w:r w:rsidR="009F31F8" w:rsidRPr="00FB6D10">
        <w:t>/Local Safeguarding Adult Board</w:t>
      </w:r>
      <w:r w:rsidR="00552B13" w:rsidRPr="00FB6D10">
        <w:t xml:space="preserve"> for the area in which the </w:t>
      </w:r>
      <w:r w:rsidR="009D13E7" w:rsidRPr="00FB6D10">
        <w:t>organi</w:t>
      </w:r>
      <w:r w:rsidR="008C4263" w:rsidRPr="00FB6D10">
        <w:t>sation</w:t>
      </w:r>
      <w:r w:rsidR="00552B13" w:rsidRPr="00FB6D10">
        <w:t xml:space="preserve"> is located</w:t>
      </w:r>
      <w:r w:rsidR="0061501D" w:rsidRPr="00FB6D10">
        <w:t>.</w:t>
      </w:r>
      <w:r w:rsidR="006C1DD6" w:rsidRPr="00FB6D10">
        <w:t xml:space="preserve"> </w:t>
      </w:r>
      <w:r w:rsidR="0048508D" w:rsidRPr="00FB6D10">
        <w:t>Further detail</w:t>
      </w:r>
      <w:r w:rsidR="00BB43BB" w:rsidRPr="00FB6D10">
        <w:t>s</w:t>
      </w:r>
      <w:r w:rsidR="0048508D" w:rsidRPr="00FB6D10">
        <w:t xml:space="preserve"> on referral routes are located </w:t>
      </w:r>
      <w:r w:rsidR="004A268E" w:rsidRPr="00FB6D10">
        <w:t xml:space="preserve">in </w:t>
      </w:r>
      <w:r w:rsidR="009D13E7" w:rsidRPr="00FB6D10">
        <w:t>Working Together to Safeguard Children</w:t>
      </w:r>
      <w:r w:rsidR="001E3C65" w:rsidRPr="00FB6D10">
        <w:t xml:space="preserve"> (</w:t>
      </w:r>
      <w:r w:rsidR="0000479F" w:rsidRPr="00FB6D10">
        <w:t>2023</w:t>
      </w:r>
      <w:r w:rsidR="001E3C65" w:rsidRPr="00FB6D10">
        <w:t>)</w:t>
      </w:r>
      <w:r w:rsidR="009F31F8" w:rsidRPr="00FB6D10">
        <w:t>, Care and Support Statutory Guidance 20</w:t>
      </w:r>
      <w:r w:rsidR="004D772E" w:rsidRPr="00FB6D10">
        <w:t>2</w:t>
      </w:r>
      <w:r w:rsidR="3502DBF8" w:rsidRPr="00FB6D10">
        <w:t>2</w:t>
      </w:r>
      <w:r w:rsidR="009F31F8" w:rsidRPr="00FB6D10">
        <w:t>,</w:t>
      </w:r>
      <w:r w:rsidR="001E3C65" w:rsidRPr="00FB6D10">
        <w:t xml:space="preserve"> and in Keeping Children Safe in Education (</w:t>
      </w:r>
      <w:r w:rsidR="00F60DBD" w:rsidRPr="00FB6D10">
        <w:t>202</w:t>
      </w:r>
      <w:r w:rsidR="00B5366D" w:rsidRPr="00FB6D10">
        <w:t>4</w:t>
      </w:r>
      <w:r w:rsidR="001E3C65" w:rsidRPr="00FB6D10">
        <w:t>)</w:t>
      </w:r>
      <w:r w:rsidR="009F31F8" w:rsidRPr="00FB6D10">
        <w:t xml:space="preserve">. </w:t>
      </w:r>
    </w:p>
    <w:p w14:paraId="72BC7F71" w14:textId="7B7DDE04" w:rsidR="009F31F8" w:rsidRPr="00FB6D10" w:rsidRDefault="00ED22B6" w:rsidP="0037140D">
      <w:pPr>
        <w:numPr>
          <w:ilvl w:val="0"/>
          <w:numId w:val="35"/>
        </w:numPr>
        <w:spacing w:after="120" w:line="276" w:lineRule="auto"/>
      </w:pPr>
      <w:r w:rsidRPr="00FB6D10">
        <w:t>Reporting c</w:t>
      </w:r>
      <w:r w:rsidR="005541C1" w:rsidRPr="00FB6D10">
        <w:t>oncerns to the Disclosure and Barring Service (DBS)</w:t>
      </w:r>
      <w:r w:rsidRPr="00FB6D10">
        <w:t xml:space="preserve">, </w:t>
      </w:r>
      <w:r w:rsidR="00BB43BB" w:rsidRPr="00FB6D10">
        <w:t>t</w:t>
      </w:r>
      <w:r w:rsidRPr="00FB6D10">
        <w:t>his may be</w:t>
      </w:r>
      <w:r w:rsidR="005541C1" w:rsidRPr="00FB6D10">
        <w:t xml:space="preserve"> where a staff member or candidate has been dismissed or left, where serious concerns have been raised about their conduct or behaviour, </w:t>
      </w:r>
      <w:r w:rsidRPr="00FB6D10">
        <w:t>and</w:t>
      </w:r>
      <w:r w:rsidR="005541C1" w:rsidRPr="00FB6D10">
        <w:t xml:space="preserve"> the company believes they pose a risk to children</w:t>
      </w:r>
      <w:r w:rsidR="009F31F8" w:rsidRPr="00FB6D10">
        <w:t>/vulnerable adults.</w:t>
      </w:r>
      <w:r w:rsidR="005541C1" w:rsidRPr="00FB6D10">
        <w:t xml:space="preserve"> The </w:t>
      </w:r>
      <w:r w:rsidR="00F60DBD" w:rsidRPr="00FB6D10">
        <w:t xml:space="preserve">DSL </w:t>
      </w:r>
      <w:r w:rsidR="005541C1" w:rsidRPr="00FB6D10">
        <w:t>will complete the necessary referral documents to the DBS and liaise with them thereafter if they have any further questions regarding the staff</w:t>
      </w:r>
      <w:r w:rsidRPr="00FB6D10">
        <w:t xml:space="preserve"> member or candidate</w:t>
      </w:r>
      <w:r w:rsidR="005541C1" w:rsidRPr="00FB6D10">
        <w:t>.</w:t>
      </w:r>
    </w:p>
    <w:p w14:paraId="0144E480" w14:textId="77777777" w:rsidR="005541C1" w:rsidRPr="00FB6D10" w:rsidRDefault="005541C1">
      <w:pPr>
        <w:numPr>
          <w:ilvl w:val="0"/>
          <w:numId w:val="35"/>
        </w:numPr>
        <w:spacing w:after="120" w:line="276" w:lineRule="auto"/>
      </w:pPr>
      <w:r w:rsidRPr="00FB6D10">
        <w:t>Keeping senior management appraised of any safeguarding incidents and their outcome.</w:t>
      </w:r>
    </w:p>
    <w:p w14:paraId="4AFEB779" w14:textId="77777777" w:rsidR="005541C1" w:rsidRPr="00FB6D10" w:rsidRDefault="005541C1">
      <w:pPr>
        <w:numPr>
          <w:ilvl w:val="0"/>
          <w:numId w:val="35"/>
        </w:numPr>
        <w:spacing w:after="120" w:line="276" w:lineRule="auto"/>
      </w:pPr>
      <w:r w:rsidRPr="00FB6D10">
        <w:t>Liaising with the Company’s Compliance Officer and senior management regarding training and skill development programmes available to staff and candidates.</w:t>
      </w:r>
    </w:p>
    <w:p w14:paraId="6DBE2888" w14:textId="70F13111" w:rsidR="00344E6F" w:rsidRPr="00FB6D10" w:rsidRDefault="005541C1" w:rsidP="005E0745">
      <w:pPr>
        <w:numPr>
          <w:ilvl w:val="0"/>
          <w:numId w:val="35"/>
        </w:numPr>
        <w:spacing w:after="120" w:line="276" w:lineRule="auto"/>
      </w:pPr>
      <w:r w:rsidRPr="00FB6D10">
        <w:t xml:space="preserve">Policy development </w:t>
      </w:r>
      <w:r w:rsidR="00355A8C" w:rsidRPr="00FB6D10">
        <w:t>(or overseeing this, including ensuring that all policies are updated as and when needed, but in any event on an annual basis.</w:t>
      </w:r>
      <w:r w:rsidR="00355A8C" w:rsidRPr="00FB6D10" w:rsidDel="00355A8C">
        <w:rPr>
          <w:rStyle w:val="CommentReference"/>
        </w:rPr>
        <w:t xml:space="preserve"> </w:t>
      </w:r>
    </w:p>
    <w:p w14:paraId="15683AAF" w14:textId="77777777" w:rsidR="00344E6F" w:rsidRPr="00FB6D10" w:rsidRDefault="00344E6F" w:rsidP="005E0745"/>
    <w:p w14:paraId="4CB6DF7B" w14:textId="77777777" w:rsidR="00344E6F" w:rsidRPr="00FB6D10" w:rsidRDefault="00344E6F" w:rsidP="005E0745"/>
    <w:p w14:paraId="7BADA7C8" w14:textId="77777777" w:rsidR="00344E6F" w:rsidRPr="00FB6D10" w:rsidRDefault="00344E6F" w:rsidP="005E0745"/>
    <w:p w14:paraId="612DA7FC" w14:textId="2CB31A4A" w:rsidR="00485897" w:rsidRPr="00FB6D10" w:rsidRDefault="0420273B" w:rsidP="00485897">
      <w:pPr>
        <w:pStyle w:val="Heading3"/>
        <w:rPr>
          <w:color w:val="auto"/>
        </w:rPr>
      </w:pPr>
      <w:bookmarkStart w:id="42" w:name="_Toc44670792"/>
      <w:bookmarkStart w:id="43" w:name="_Toc380420516"/>
      <w:bookmarkStart w:id="44" w:name="_Toc1282029746"/>
      <w:bookmarkStart w:id="45" w:name="_Toc127609732"/>
      <w:bookmarkStart w:id="46" w:name="_Toc887798891"/>
      <w:bookmarkStart w:id="47" w:name="_Toc533043098"/>
      <w:bookmarkStart w:id="48" w:name="_Toc69290819"/>
      <w:bookmarkStart w:id="49" w:name="_Toc176797315"/>
      <w:r w:rsidRPr="00FB6D10">
        <w:rPr>
          <w:color w:val="auto"/>
        </w:rPr>
        <w:t>Recruitment and Selection Process</w:t>
      </w:r>
      <w:bookmarkEnd w:id="41"/>
      <w:bookmarkEnd w:id="42"/>
      <w:bookmarkEnd w:id="43"/>
      <w:bookmarkEnd w:id="44"/>
      <w:bookmarkEnd w:id="45"/>
      <w:bookmarkEnd w:id="46"/>
      <w:bookmarkEnd w:id="47"/>
      <w:bookmarkEnd w:id="48"/>
      <w:bookmarkEnd w:id="49"/>
    </w:p>
    <w:p w14:paraId="6E044FC3" w14:textId="77777777" w:rsidR="00FC74C0" w:rsidRPr="00FB6D10" w:rsidRDefault="00FC74C0" w:rsidP="00FC74C0">
      <w:pPr>
        <w:rPr>
          <w:sz w:val="14"/>
          <w:szCs w:val="14"/>
        </w:rPr>
      </w:pPr>
    </w:p>
    <w:p w14:paraId="06CA094C" w14:textId="45D61054" w:rsidR="00987985" w:rsidRPr="00FB6D10" w:rsidRDefault="00FB6D10" w:rsidP="00485897">
      <w:r w:rsidRPr="00FB6D10">
        <w:t>Tara Professional Recruitment</w:t>
      </w:r>
      <w:r w:rsidR="00485897" w:rsidRPr="00FB6D10">
        <w:t xml:space="preserve"> </w:t>
      </w:r>
      <w:r w:rsidR="00CA055D" w:rsidRPr="00FB6D10">
        <w:t xml:space="preserve">is </w:t>
      </w:r>
      <w:r w:rsidR="00485897" w:rsidRPr="00FB6D10">
        <w:t>also committed to protecting children</w:t>
      </w:r>
      <w:r w:rsidR="00DD301B" w:rsidRPr="00FB6D10">
        <w:t xml:space="preserve"> and adults at risk</w:t>
      </w:r>
      <w:r w:rsidR="00485897" w:rsidRPr="00FB6D10">
        <w:t xml:space="preserve"> through a careful recruitment and selection process</w:t>
      </w:r>
      <w:r w:rsidR="00987985" w:rsidRPr="00FB6D10">
        <w:t xml:space="preserve"> (Safer Recruitment)</w:t>
      </w:r>
      <w:r w:rsidR="00485897" w:rsidRPr="00FB6D10">
        <w:t xml:space="preserve">, a </w:t>
      </w:r>
      <w:r w:rsidR="00987985" w:rsidRPr="00FB6D10">
        <w:t>W</w:t>
      </w:r>
      <w:r w:rsidR="00485897" w:rsidRPr="00FB6D10">
        <w:t xml:space="preserve">histleblowing </w:t>
      </w:r>
      <w:r w:rsidR="00D5404C" w:rsidRPr="00FB6D10">
        <w:t>P</w:t>
      </w:r>
      <w:r w:rsidR="00485897" w:rsidRPr="00FB6D10">
        <w:t>olicy and guidance on appropriate behaviour</w:t>
      </w:r>
      <w:r w:rsidR="00945F8B" w:rsidRPr="00FB6D10">
        <w:t xml:space="preserve"> (</w:t>
      </w:r>
      <w:r w:rsidR="00F4215A" w:rsidRPr="00FB6D10">
        <w:t>Code of Conduct)</w:t>
      </w:r>
      <w:r w:rsidR="00485897" w:rsidRPr="00FB6D10">
        <w:t xml:space="preserve">. </w:t>
      </w:r>
      <w:r w:rsidR="00017860" w:rsidRPr="00FB6D10">
        <w:t xml:space="preserve">These policies should be read alongside this policy. </w:t>
      </w:r>
    </w:p>
    <w:p w14:paraId="39EB1064" w14:textId="77777777" w:rsidR="00987985" w:rsidRPr="00FB6D10" w:rsidRDefault="00987985" w:rsidP="00485897"/>
    <w:p w14:paraId="4C300DB4" w14:textId="0836DC1B" w:rsidR="00FC74C0" w:rsidRPr="00FB6D10" w:rsidRDefault="00FB6D10" w:rsidP="00FC74C0">
      <w:r w:rsidRPr="00FB6D10">
        <w:t>Tara Professional Recruitment</w:t>
      </w:r>
      <w:r w:rsidR="00485897" w:rsidRPr="00FB6D10">
        <w:t>’s rigorous procedures</w:t>
      </w:r>
      <w:r w:rsidR="00987985" w:rsidRPr="00FB6D10">
        <w:t xml:space="preserve">, following ASPCo’s Compliance+ </w:t>
      </w:r>
      <w:r w:rsidR="00AC34AA" w:rsidRPr="00FB6D10">
        <w:t>process ensures</w:t>
      </w:r>
      <w:r w:rsidR="00485897" w:rsidRPr="00FB6D10">
        <w:t xml:space="preserve"> that any candidate found to have a history of unacceptable conduct or practice, will not be placed.</w:t>
      </w:r>
    </w:p>
    <w:p w14:paraId="18EBB974" w14:textId="77777777" w:rsidR="00FC74C0" w:rsidRPr="00FB6D10" w:rsidRDefault="00FC74C0" w:rsidP="00FC74C0">
      <w:pPr>
        <w:rPr>
          <w:sz w:val="36"/>
          <w:szCs w:val="36"/>
        </w:rPr>
      </w:pPr>
    </w:p>
    <w:p w14:paraId="5C0A6921" w14:textId="263667D7" w:rsidR="008F448C" w:rsidRPr="00FB6D10" w:rsidRDefault="46CD9B2A" w:rsidP="00EA4B9F">
      <w:pPr>
        <w:pStyle w:val="Heading3"/>
        <w:rPr>
          <w:color w:val="auto"/>
        </w:rPr>
      </w:pPr>
      <w:bookmarkStart w:id="50" w:name="_Toc43803165"/>
      <w:bookmarkStart w:id="51" w:name="_Toc43803452"/>
      <w:bookmarkStart w:id="52" w:name="_Toc43803546"/>
      <w:bookmarkStart w:id="53" w:name="_Toc44670158"/>
      <w:bookmarkStart w:id="54" w:name="_Toc44670269"/>
      <w:bookmarkStart w:id="55" w:name="_Toc44670359"/>
      <w:bookmarkStart w:id="56" w:name="_Toc44670430"/>
      <w:bookmarkStart w:id="57" w:name="_Toc44670793"/>
      <w:bookmarkStart w:id="58" w:name="_Toc44670831"/>
      <w:bookmarkStart w:id="59" w:name="_Toc1187419611"/>
      <w:bookmarkStart w:id="60" w:name="_Toc622818372"/>
      <w:bookmarkStart w:id="61" w:name="_Toc308558399"/>
      <w:bookmarkStart w:id="62" w:name="_Toc69558273"/>
      <w:bookmarkStart w:id="63" w:name="_Toc256076257"/>
      <w:bookmarkStart w:id="64" w:name="_Toc1545827389"/>
      <w:bookmarkStart w:id="65" w:name="_Toc176797316"/>
      <w:bookmarkEnd w:id="50"/>
      <w:bookmarkEnd w:id="51"/>
      <w:bookmarkEnd w:id="52"/>
      <w:bookmarkEnd w:id="53"/>
      <w:bookmarkEnd w:id="54"/>
      <w:bookmarkEnd w:id="55"/>
      <w:bookmarkEnd w:id="56"/>
      <w:bookmarkEnd w:id="57"/>
      <w:r w:rsidRPr="00FB6D10">
        <w:rPr>
          <w:color w:val="auto"/>
        </w:rPr>
        <w:t>Responding to Safeguarding Concerns</w:t>
      </w:r>
      <w:bookmarkEnd w:id="58"/>
      <w:bookmarkEnd w:id="59"/>
      <w:bookmarkEnd w:id="60"/>
      <w:bookmarkEnd w:id="61"/>
      <w:bookmarkEnd w:id="62"/>
      <w:bookmarkEnd w:id="63"/>
      <w:bookmarkEnd w:id="64"/>
      <w:bookmarkEnd w:id="65"/>
    </w:p>
    <w:p w14:paraId="103A6EA3" w14:textId="77777777" w:rsidR="00FC74C0" w:rsidRPr="00FB6D10" w:rsidRDefault="00FC74C0" w:rsidP="00FC74C0">
      <w:pPr>
        <w:rPr>
          <w:sz w:val="10"/>
          <w:szCs w:val="10"/>
        </w:rPr>
      </w:pPr>
    </w:p>
    <w:p w14:paraId="4B477C30" w14:textId="639C4D3F" w:rsidR="00987985" w:rsidRPr="00FB6D10" w:rsidRDefault="00987985">
      <w:pPr>
        <w:spacing w:after="120" w:line="276" w:lineRule="auto"/>
      </w:pPr>
      <w:r w:rsidRPr="00FB6D10">
        <w:rPr>
          <w:b/>
          <w:bCs/>
        </w:rPr>
        <w:t>All staff</w:t>
      </w:r>
      <w:r w:rsidRPr="00FB6D10">
        <w:t xml:space="preserve"> have a responsibility to protect children</w:t>
      </w:r>
      <w:r w:rsidR="00DD301B" w:rsidRPr="00FB6D10">
        <w:t>/adults at risk</w:t>
      </w:r>
      <w:r w:rsidRPr="00FB6D10">
        <w:t>. This includes:</w:t>
      </w:r>
    </w:p>
    <w:p w14:paraId="2054976D" w14:textId="04A9B9D3" w:rsidR="00987985" w:rsidRPr="00FB6D10" w:rsidRDefault="00987985" w:rsidP="00EA4B9F">
      <w:pPr>
        <w:pStyle w:val="ListParagraph"/>
        <w:numPr>
          <w:ilvl w:val="0"/>
          <w:numId w:val="36"/>
        </w:numPr>
        <w:spacing w:after="120" w:line="276" w:lineRule="auto"/>
      </w:pPr>
      <w:r w:rsidRPr="00FB6D10">
        <w:lastRenderedPageBreak/>
        <w:t xml:space="preserve">Observing </w:t>
      </w:r>
      <w:r w:rsidR="00FB6D10" w:rsidRPr="00FB6D10">
        <w:t>Tara Professional Recruitment</w:t>
      </w:r>
      <w:r w:rsidRPr="00FB6D10">
        <w:t xml:space="preserve"> policies and processes including any Code of Conduct</w:t>
      </w:r>
    </w:p>
    <w:p w14:paraId="3D58342F" w14:textId="77777777" w:rsidR="00987985" w:rsidRPr="00FB6D10" w:rsidRDefault="00987985" w:rsidP="00EA4B9F">
      <w:pPr>
        <w:pStyle w:val="ListParagraph"/>
        <w:numPr>
          <w:ilvl w:val="0"/>
          <w:numId w:val="36"/>
        </w:numPr>
        <w:spacing w:after="120" w:line="276" w:lineRule="auto"/>
      </w:pPr>
      <w:r w:rsidRPr="00FB6D10">
        <w:t>Attending the recommended training and keeping their skills and knowledge concerning safeguarding and safer recruitment up to date</w:t>
      </w:r>
    </w:p>
    <w:p w14:paraId="7BA041A0" w14:textId="7D26C48D" w:rsidR="00987985" w:rsidRPr="00FB6D10" w:rsidRDefault="00987985" w:rsidP="00EA4B9F">
      <w:pPr>
        <w:pStyle w:val="ListParagraph"/>
        <w:numPr>
          <w:ilvl w:val="0"/>
          <w:numId w:val="36"/>
        </w:numPr>
        <w:spacing w:after="120" w:line="276" w:lineRule="auto"/>
      </w:pPr>
      <w:r w:rsidRPr="00FB6D10">
        <w:t xml:space="preserve">Reporting any concerns arising from meeting candidates or carrying out pre-placement checks to the </w:t>
      </w:r>
      <w:r w:rsidR="00697DD8" w:rsidRPr="00FB6D10">
        <w:t xml:space="preserve">DSL </w:t>
      </w:r>
      <w:r w:rsidRPr="00FB6D10">
        <w:t xml:space="preserve">without delay and making a clear written record of all relevant information to be passed to the </w:t>
      </w:r>
      <w:r w:rsidR="00697DD8" w:rsidRPr="00FB6D10">
        <w:t>DSL</w:t>
      </w:r>
    </w:p>
    <w:p w14:paraId="3DBDC82C" w14:textId="0B687796" w:rsidR="00987985" w:rsidRPr="00FB6D10" w:rsidRDefault="00987985" w:rsidP="00EA4B9F">
      <w:pPr>
        <w:pStyle w:val="ListParagraph"/>
        <w:numPr>
          <w:ilvl w:val="0"/>
          <w:numId w:val="36"/>
        </w:numPr>
        <w:spacing w:after="120" w:line="276" w:lineRule="auto"/>
      </w:pPr>
      <w:r w:rsidRPr="00FB6D10">
        <w:t xml:space="preserve">Reporting any concerns arising from </w:t>
      </w:r>
      <w:r w:rsidR="00F25C32" w:rsidRPr="00FB6D10">
        <w:t>o</w:t>
      </w:r>
      <w:r w:rsidR="001838AA" w:rsidRPr="00FB6D10">
        <w:t>rganisation</w:t>
      </w:r>
      <w:r w:rsidRPr="00FB6D10">
        <w:t xml:space="preserve"> visits</w:t>
      </w:r>
      <w:r w:rsidR="006C29F7" w:rsidRPr="00FB6D10">
        <w:t>/placements</w:t>
      </w:r>
      <w:r w:rsidRPr="00FB6D10">
        <w:t xml:space="preserve"> to the Designated Safeguarding Lead at the relevant </w:t>
      </w:r>
      <w:r w:rsidR="00F25C32" w:rsidRPr="00FB6D10">
        <w:t>o</w:t>
      </w:r>
      <w:r w:rsidR="00234CFA" w:rsidRPr="00FB6D10">
        <w:t>rganisation</w:t>
      </w:r>
      <w:r w:rsidRPr="00FB6D10">
        <w:t xml:space="preserve"> and confirming that this has been done to </w:t>
      </w:r>
      <w:r w:rsidR="00FB6D10" w:rsidRPr="00FB6D10">
        <w:t>Tara Professional Recruitment</w:t>
      </w:r>
      <w:r w:rsidRPr="00FB6D10">
        <w:t xml:space="preserve"> </w:t>
      </w:r>
      <w:r w:rsidR="00697DD8" w:rsidRPr="00FB6D10">
        <w:t>DSL</w:t>
      </w:r>
    </w:p>
    <w:p w14:paraId="2EF9F9C1" w14:textId="34F3B124" w:rsidR="00987985" w:rsidRPr="00FB6D10" w:rsidRDefault="00987985" w:rsidP="00EA4B9F">
      <w:pPr>
        <w:pStyle w:val="ListParagraph"/>
        <w:numPr>
          <w:ilvl w:val="0"/>
          <w:numId w:val="36"/>
        </w:numPr>
        <w:spacing w:after="120" w:line="276" w:lineRule="auto"/>
      </w:pPr>
      <w:proofErr w:type="gramStart"/>
      <w:r w:rsidRPr="00FB6D10">
        <w:t>Taking action</w:t>
      </w:r>
      <w:proofErr w:type="gramEnd"/>
      <w:r w:rsidR="006C29F7" w:rsidRPr="00FB6D10">
        <w:t>,</w:t>
      </w:r>
      <w:r w:rsidRPr="00FB6D10">
        <w:t xml:space="preserve"> such as following the process detailed in the Whistleblowing </w:t>
      </w:r>
      <w:r w:rsidR="000838E9" w:rsidRPr="00FB6D10">
        <w:t>P</w:t>
      </w:r>
      <w:r w:rsidRPr="00FB6D10">
        <w:t>olicy where there are concerns about practice.</w:t>
      </w:r>
    </w:p>
    <w:p w14:paraId="0E420E4C" w14:textId="77777777" w:rsidR="00D122AA" w:rsidRPr="00FB6D10" w:rsidRDefault="00D122AA" w:rsidP="00F9224C">
      <w:pPr>
        <w:pStyle w:val="ListParagraph"/>
        <w:spacing w:after="120" w:line="276" w:lineRule="auto"/>
      </w:pPr>
    </w:p>
    <w:p w14:paraId="48F948F5" w14:textId="0FD7E921" w:rsidR="00FF487B" w:rsidRPr="00FB6D10" w:rsidRDefault="00FF487B" w:rsidP="00EA4B9F">
      <w:pPr>
        <w:spacing w:after="120" w:line="276" w:lineRule="auto"/>
      </w:pPr>
      <w:r w:rsidRPr="00FB6D10">
        <w:rPr>
          <w:b/>
          <w:bCs/>
        </w:rPr>
        <w:t>All candidates</w:t>
      </w:r>
      <w:r w:rsidRPr="00FB6D10">
        <w:t xml:space="preserve"> working through </w:t>
      </w:r>
      <w:r w:rsidR="00FB6D10" w:rsidRPr="00FB6D10">
        <w:t>Tara Professional Recruitment</w:t>
      </w:r>
      <w:r w:rsidRPr="00FB6D10">
        <w:t xml:space="preserve"> are expected to keep children</w:t>
      </w:r>
      <w:r w:rsidR="00DD301B" w:rsidRPr="00FB6D10">
        <w:t xml:space="preserve"> and vulnerable adults</w:t>
      </w:r>
      <w:r w:rsidRPr="00FB6D10">
        <w:t xml:space="preserve"> safe by:</w:t>
      </w:r>
    </w:p>
    <w:p w14:paraId="0E2131E3" w14:textId="3CC19237" w:rsidR="00ED22B6" w:rsidRPr="00FB6D10" w:rsidRDefault="00836D2A" w:rsidP="00817D82">
      <w:pPr>
        <w:pStyle w:val="ListParagraph"/>
        <w:numPr>
          <w:ilvl w:val="0"/>
          <w:numId w:val="27"/>
        </w:numPr>
        <w:spacing w:after="120" w:line="276" w:lineRule="auto"/>
      </w:pPr>
      <w:r w:rsidRPr="00FB6D10">
        <w:t xml:space="preserve">following </w:t>
      </w:r>
      <w:r w:rsidR="0018504B" w:rsidRPr="00FB6D10">
        <w:t xml:space="preserve">the </w:t>
      </w:r>
      <w:r w:rsidR="00FB6D10" w:rsidRPr="00FB6D10">
        <w:t>Tara Professional Recruitment</w:t>
      </w:r>
      <w:r w:rsidR="00D27A7A" w:rsidRPr="00FB6D10">
        <w:t xml:space="preserve"> policies including the Code of </w:t>
      </w:r>
      <w:proofErr w:type="gramStart"/>
      <w:r w:rsidR="00D27A7A" w:rsidRPr="00FB6D10">
        <w:t>Conduc</w:t>
      </w:r>
      <w:r w:rsidR="00987985" w:rsidRPr="00FB6D10">
        <w:t>t</w:t>
      </w:r>
      <w:r w:rsidRPr="00FB6D10">
        <w:t>;</w:t>
      </w:r>
      <w:proofErr w:type="gramEnd"/>
    </w:p>
    <w:p w14:paraId="53781BFE" w14:textId="3DCB47C3" w:rsidR="00355A8C" w:rsidRPr="00FB6D10" w:rsidRDefault="00836D2A" w:rsidP="00B10A04">
      <w:pPr>
        <w:pStyle w:val="ListParagraph"/>
        <w:numPr>
          <w:ilvl w:val="0"/>
          <w:numId w:val="27"/>
        </w:numPr>
        <w:spacing w:after="120" w:line="276" w:lineRule="auto"/>
      </w:pPr>
      <w:r w:rsidRPr="00FB6D10">
        <w:t xml:space="preserve">following </w:t>
      </w:r>
      <w:r w:rsidR="00D27A7A" w:rsidRPr="00FB6D10">
        <w:t xml:space="preserve">the </w:t>
      </w:r>
      <w:r w:rsidR="008D563E" w:rsidRPr="00FB6D10">
        <w:t xml:space="preserve">Safeguarding </w:t>
      </w:r>
      <w:r w:rsidR="006317D2" w:rsidRPr="00FB6D10">
        <w:t>P</w:t>
      </w:r>
      <w:r w:rsidR="008D563E" w:rsidRPr="00FB6D10">
        <w:t xml:space="preserve">olicy of each placement, including </w:t>
      </w:r>
      <w:r w:rsidR="00355A8C" w:rsidRPr="00FB6D10">
        <w:t>any Code of Conduct</w:t>
      </w:r>
      <w:r w:rsidRPr="00FB6D10">
        <w:t>;</w:t>
      </w:r>
    </w:p>
    <w:p w14:paraId="5A46D165" w14:textId="495AAB4C" w:rsidR="008D563E" w:rsidRPr="00FB6D10" w:rsidRDefault="00836D2A" w:rsidP="008D563E">
      <w:pPr>
        <w:pStyle w:val="ListParagraph"/>
        <w:numPr>
          <w:ilvl w:val="0"/>
          <w:numId w:val="27"/>
        </w:numPr>
      </w:pPr>
      <w:r w:rsidRPr="00FB6D10">
        <w:t xml:space="preserve">making </w:t>
      </w:r>
      <w:r w:rsidR="008D563E" w:rsidRPr="00FB6D10">
        <w:t xml:space="preserve">the Designated Safeguarding Lead </w:t>
      </w:r>
      <w:r w:rsidR="00355A8C" w:rsidRPr="00FB6D10">
        <w:t xml:space="preserve">at the placement </w:t>
      </w:r>
      <w:r w:rsidR="008D563E" w:rsidRPr="00FB6D10">
        <w:t>aware of any concerns regarding any children</w:t>
      </w:r>
      <w:r w:rsidR="00DD301B" w:rsidRPr="00FB6D10">
        <w:t>/vulnerable adults;</w:t>
      </w:r>
      <w:r w:rsidR="008D563E" w:rsidRPr="00FB6D10">
        <w:t xml:space="preserve"> or any adults caring for or working with those </w:t>
      </w:r>
      <w:r w:rsidR="00DD301B" w:rsidRPr="00FB6D10">
        <w:t>persons</w:t>
      </w:r>
      <w:r w:rsidRPr="00FB6D10">
        <w:t>;</w:t>
      </w:r>
    </w:p>
    <w:p w14:paraId="72D7949F" w14:textId="77777777" w:rsidR="00DD301B" w:rsidRPr="00FB6D10" w:rsidRDefault="00DD301B" w:rsidP="0017456A">
      <w:pPr>
        <w:pStyle w:val="ListParagraph"/>
      </w:pPr>
    </w:p>
    <w:p w14:paraId="0947F019" w14:textId="1C6D1954" w:rsidR="00E65AF7" w:rsidRPr="00FB6D10" w:rsidRDefault="00836D2A" w:rsidP="00BA1D93">
      <w:pPr>
        <w:pStyle w:val="ListParagraph"/>
        <w:numPr>
          <w:ilvl w:val="0"/>
          <w:numId w:val="27"/>
        </w:numPr>
      </w:pPr>
      <w:r w:rsidRPr="00FB6D10">
        <w:t xml:space="preserve">seeking </w:t>
      </w:r>
      <w:r w:rsidR="00D27A7A" w:rsidRPr="00FB6D10">
        <w:t xml:space="preserve">advice and support from </w:t>
      </w:r>
      <w:r w:rsidR="00FB6D10" w:rsidRPr="00FB6D10">
        <w:t>Tara Professional Recruitment</w:t>
      </w:r>
      <w:r w:rsidR="00E5424B" w:rsidRPr="00FB6D10">
        <w:t>’s</w:t>
      </w:r>
      <w:r w:rsidR="00D27A7A" w:rsidRPr="00FB6D10">
        <w:t xml:space="preserve"> </w:t>
      </w:r>
      <w:r w:rsidR="00697DD8" w:rsidRPr="00FB6D10">
        <w:t xml:space="preserve">DSL </w:t>
      </w:r>
      <w:r w:rsidR="00D27A7A" w:rsidRPr="00FB6D10">
        <w:t xml:space="preserve">when they have reason to believe that their concerns have not been responded to appropriately or they have concerns about practice in the </w:t>
      </w:r>
      <w:proofErr w:type="gramStart"/>
      <w:r w:rsidR="00D27A7A" w:rsidRPr="00FB6D10">
        <w:t>placement</w:t>
      </w:r>
      <w:r w:rsidRPr="00FB6D10">
        <w:t>;</w:t>
      </w:r>
      <w:proofErr w:type="gramEnd"/>
    </w:p>
    <w:p w14:paraId="01876D84" w14:textId="77777777" w:rsidR="00CC4EE9" w:rsidRPr="00FB6D10" w:rsidRDefault="00CC4EE9" w:rsidP="00F9224C">
      <w:pPr>
        <w:pStyle w:val="ListParagraph"/>
      </w:pPr>
    </w:p>
    <w:p w14:paraId="2938E5BC" w14:textId="24DF0244" w:rsidR="00CC4EE9" w:rsidRPr="00FB6D10" w:rsidRDefault="00836D2A" w:rsidP="00CC4EE9">
      <w:pPr>
        <w:pStyle w:val="ListParagraph"/>
        <w:numPr>
          <w:ilvl w:val="0"/>
          <w:numId w:val="27"/>
        </w:numPr>
        <w:rPr>
          <w:rFonts w:cs="Tahoma"/>
        </w:rPr>
      </w:pPr>
      <w:r w:rsidRPr="00FB6D10">
        <w:rPr>
          <w:rFonts w:cs="Tahoma"/>
        </w:rPr>
        <w:t>c</w:t>
      </w:r>
      <w:r w:rsidR="00CC4EE9" w:rsidRPr="00FB6D10">
        <w:rPr>
          <w:rFonts w:cs="Tahoma"/>
        </w:rPr>
        <w:t>arrying out their responsibilities for safeguarding and promoting the welfare of children</w:t>
      </w:r>
      <w:r w:rsidRPr="00FB6D10">
        <w:rPr>
          <w:rFonts w:cs="Tahoma"/>
        </w:rPr>
        <w:t>;</w:t>
      </w:r>
    </w:p>
    <w:p w14:paraId="597AB875" w14:textId="77777777" w:rsidR="00836D2A" w:rsidRPr="00FB6D10" w:rsidRDefault="00836D2A" w:rsidP="00F9224C">
      <w:pPr>
        <w:pStyle w:val="ListParagraph"/>
        <w:rPr>
          <w:rFonts w:cs="Tahoma"/>
        </w:rPr>
      </w:pPr>
    </w:p>
    <w:p w14:paraId="70FA9D8A" w14:textId="5B9C0A47" w:rsidR="00836D2A" w:rsidRPr="00FB6D10" w:rsidRDefault="00666571" w:rsidP="00666571">
      <w:pPr>
        <w:pStyle w:val="ListParagraph"/>
        <w:numPr>
          <w:ilvl w:val="0"/>
          <w:numId w:val="27"/>
        </w:numPr>
        <w:rPr>
          <w:rFonts w:cs="Tahoma"/>
        </w:rPr>
      </w:pPr>
      <w:r w:rsidRPr="00FB6D10">
        <w:rPr>
          <w:rFonts w:cs="Tahoma"/>
        </w:rPr>
        <w:t>understand the importance of sharing information about children, young people and their families in order to safeguard children; and</w:t>
      </w:r>
    </w:p>
    <w:p w14:paraId="08778B4A" w14:textId="77777777" w:rsidR="00CC4EE9" w:rsidRPr="00FB6D10" w:rsidRDefault="00CC4EE9" w:rsidP="00F9224C"/>
    <w:p w14:paraId="06D2350B" w14:textId="7C9A4D2A" w:rsidR="00CC4EE9" w:rsidRPr="00FB6D10" w:rsidRDefault="00836D2A" w:rsidP="00CC4EE9">
      <w:pPr>
        <w:pStyle w:val="ListParagraph"/>
        <w:numPr>
          <w:ilvl w:val="0"/>
          <w:numId w:val="27"/>
        </w:numPr>
        <w:rPr>
          <w:rFonts w:cs="Tahoma"/>
        </w:rPr>
      </w:pPr>
      <w:r w:rsidRPr="00FB6D10">
        <w:rPr>
          <w:rFonts w:cs="Tahoma"/>
        </w:rPr>
        <w:t>f</w:t>
      </w:r>
      <w:r w:rsidR="00CC4EE9" w:rsidRPr="00FB6D10">
        <w:rPr>
          <w:rFonts w:cs="Tahoma"/>
        </w:rPr>
        <w:t xml:space="preserve">ollowing any mandatory induction, which includes familiarisation with child protection responsibilities and the procedures to be followed if anyone has any concerns about a child’s safety or welfare. </w:t>
      </w:r>
    </w:p>
    <w:p w14:paraId="50310952" w14:textId="77777777" w:rsidR="00FC74C0" w:rsidRPr="00FB6D10" w:rsidRDefault="00FC74C0" w:rsidP="00F9224C"/>
    <w:p w14:paraId="79FDB31C" w14:textId="77777777" w:rsidR="00344E6F" w:rsidRPr="00FB6D10" w:rsidRDefault="00344E6F" w:rsidP="00F9224C"/>
    <w:p w14:paraId="22530992" w14:textId="77777777" w:rsidR="00344E6F" w:rsidRPr="00FB6D10" w:rsidRDefault="00344E6F" w:rsidP="00F9224C"/>
    <w:p w14:paraId="2567E09B" w14:textId="77777777" w:rsidR="00FC74C0" w:rsidRPr="00FB6D10" w:rsidRDefault="00FC74C0" w:rsidP="00FC74C0">
      <w:pPr>
        <w:pStyle w:val="ListParagraph"/>
        <w:rPr>
          <w:sz w:val="16"/>
          <w:szCs w:val="20"/>
        </w:rPr>
      </w:pPr>
    </w:p>
    <w:p w14:paraId="667E0F3D" w14:textId="0EFCD2D8" w:rsidR="001B5091" w:rsidRPr="00FB6D10" w:rsidRDefault="5FDEAACF" w:rsidP="001B5091">
      <w:pPr>
        <w:pStyle w:val="Heading3"/>
        <w:rPr>
          <w:color w:val="auto"/>
        </w:rPr>
      </w:pPr>
      <w:bookmarkStart w:id="66" w:name="_Toc43803169"/>
      <w:bookmarkStart w:id="67" w:name="_Toc44670832"/>
      <w:bookmarkStart w:id="68" w:name="_Toc395602790"/>
      <w:bookmarkStart w:id="69" w:name="_Toc1550731986"/>
      <w:bookmarkStart w:id="70" w:name="_Toc1379036260"/>
      <w:bookmarkStart w:id="71" w:name="_Toc1795791557"/>
      <w:bookmarkStart w:id="72" w:name="_Toc817493030"/>
      <w:bookmarkStart w:id="73" w:name="_Toc476984628"/>
      <w:bookmarkStart w:id="74" w:name="_Toc176797317"/>
      <w:r w:rsidRPr="00FB6D10">
        <w:rPr>
          <w:color w:val="auto"/>
        </w:rPr>
        <w:t xml:space="preserve">Dealing with </w:t>
      </w:r>
      <w:r w:rsidR="55BDBE95" w:rsidRPr="00FB6D10">
        <w:rPr>
          <w:color w:val="auto"/>
        </w:rPr>
        <w:t>a</w:t>
      </w:r>
      <w:r w:rsidRPr="00FB6D10">
        <w:rPr>
          <w:color w:val="auto"/>
        </w:rPr>
        <w:t xml:space="preserve">llegations of abuse made against </w:t>
      </w:r>
      <w:bookmarkEnd w:id="66"/>
      <w:r w:rsidRPr="00FB6D10">
        <w:rPr>
          <w:color w:val="auto"/>
        </w:rPr>
        <w:t>candidates</w:t>
      </w:r>
      <w:bookmarkEnd w:id="67"/>
      <w:bookmarkEnd w:id="68"/>
      <w:bookmarkEnd w:id="69"/>
      <w:bookmarkEnd w:id="70"/>
      <w:bookmarkEnd w:id="71"/>
      <w:bookmarkEnd w:id="72"/>
      <w:bookmarkEnd w:id="73"/>
      <w:bookmarkEnd w:id="74"/>
    </w:p>
    <w:p w14:paraId="14315B33" w14:textId="77777777" w:rsidR="00FC74C0" w:rsidRPr="00FB6D10" w:rsidRDefault="00FC74C0" w:rsidP="00FC74C0">
      <w:pPr>
        <w:rPr>
          <w:sz w:val="14"/>
          <w:szCs w:val="14"/>
        </w:rPr>
      </w:pPr>
    </w:p>
    <w:p w14:paraId="21D9F35E" w14:textId="77777777" w:rsidR="00FB6D10" w:rsidRPr="00FB6D10" w:rsidRDefault="00485897" w:rsidP="00B12192">
      <w:bookmarkStart w:id="75" w:name="_Toc43803170"/>
      <w:bookmarkStart w:id="76" w:name="_Toc43803551"/>
      <w:bookmarkEnd w:id="75"/>
      <w:bookmarkEnd w:id="76"/>
      <w:r w:rsidRPr="00FB6D10">
        <w:t>All candidates placed on assignment are responsible for supporting safe behaviour and have responsibility to follow the guidance laid out in this policy and related policies</w:t>
      </w:r>
      <w:r w:rsidR="00D27A7A" w:rsidRPr="00FB6D10">
        <w:t>, such as the Code of Conduct</w:t>
      </w:r>
      <w:r w:rsidRPr="00FB6D10">
        <w:t xml:space="preserve">. </w:t>
      </w:r>
    </w:p>
    <w:p w14:paraId="18DE108A" w14:textId="3F4A5635" w:rsidR="00B12192" w:rsidRPr="00FB6D10" w:rsidRDefault="00B12192" w:rsidP="00B12192">
      <w:r w:rsidRPr="00FB6D10">
        <w:t xml:space="preserve">In accordance with </w:t>
      </w:r>
      <w:r w:rsidR="00DD301B" w:rsidRPr="00FB6D10">
        <w:t xml:space="preserve">the Care Act (2014), </w:t>
      </w:r>
      <w:r w:rsidR="00CF0E85" w:rsidRPr="00FB6D10">
        <w:t>Working Together (</w:t>
      </w:r>
      <w:r w:rsidR="0000479F" w:rsidRPr="00FB6D10">
        <w:t>2023</w:t>
      </w:r>
      <w:r w:rsidR="00CF0E85" w:rsidRPr="00FB6D10">
        <w:t xml:space="preserve">) and </w:t>
      </w:r>
      <w:r w:rsidRPr="00FB6D10">
        <w:t>Keeping Children Safe in Education (</w:t>
      </w:r>
      <w:r w:rsidR="00530564" w:rsidRPr="00FB6D10">
        <w:t>2024</w:t>
      </w:r>
      <w:r w:rsidRPr="00FB6D10">
        <w:t>),</w:t>
      </w:r>
      <w:r w:rsidR="00DD301B" w:rsidRPr="00FB6D10">
        <w:t xml:space="preserve"> </w:t>
      </w:r>
      <w:r w:rsidRPr="00FB6D10">
        <w:t xml:space="preserve">where an organisation has received an allegation that a volunteer, supply </w:t>
      </w:r>
      <w:r w:rsidR="00CF0E85" w:rsidRPr="00FB6D10">
        <w:t>staff</w:t>
      </w:r>
      <w:r w:rsidRPr="00FB6D10">
        <w:t xml:space="preserve"> or member of staff who works with children</w:t>
      </w:r>
      <w:r w:rsidR="00DD301B" w:rsidRPr="00FB6D10">
        <w:t>/vulnerable adults</w:t>
      </w:r>
      <w:r w:rsidRPr="00FB6D10">
        <w:t xml:space="preserve"> has:</w:t>
      </w:r>
    </w:p>
    <w:p w14:paraId="1A2D4B3D" w14:textId="77777777" w:rsidR="00B12192" w:rsidRPr="00FB6D10" w:rsidRDefault="00B12192" w:rsidP="00B12192"/>
    <w:p w14:paraId="56AC131D" w14:textId="67FA3185" w:rsidR="00B12192" w:rsidRPr="00FB6D10" w:rsidRDefault="00B12192" w:rsidP="00B12192">
      <w:pPr>
        <w:pStyle w:val="ListParagraph"/>
        <w:numPr>
          <w:ilvl w:val="0"/>
          <w:numId w:val="27"/>
        </w:numPr>
        <w:spacing w:after="120" w:line="276" w:lineRule="auto"/>
      </w:pPr>
      <w:r w:rsidRPr="00FB6D10">
        <w:t xml:space="preserve">behaved in a way that has harmed a </w:t>
      </w:r>
      <w:r w:rsidR="00DD301B" w:rsidRPr="00FB6D10">
        <w:t>child/adult</w:t>
      </w:r>
      <w:r w:rsidRPr="00FB6D10">
        <w:t>, or may have harmed a child</w:t>
      </w:r>
      <w:r w:rsidR="00DD301B" w:rsidRPr="00FB6D10">
        <w:t>/adult</w:t>
      </w:r>
      <w:r w:rsidRPr="00FB6D10">
        <w:t xml:space="preserve">; </w:t>
      </w:r>
    </w:p>
    <w:p w14:paraId="226622F8" w14:textId="00AB8439" w:rsidR="00B12192" w:rsidRPr="00FB6D10" w:rsidRDefault="00B12192" w:rsidP="00B12192">
      <w:pPr>
        <w:pStyle w:val="ListParagraph"/>
        <w:numPr>
          <w:ilvl w:val="0"/>
          <w:numId w:val="27"/>
        </w:numPr>
        <w:spacing w:after="120" w:line="276" w:lineRule="auto"/>
      </w:pPr>
      <w:r w:rsidRPr="00FB6D10">
        <w:t>possibly committed a criminal offence against or related to a child</w:t>
      </w:r>
      <w:r w:rsidR="00DD301B" w:rsidRPr="00FB6D10">
        <w:t>/adult</w:t>
      </w:r>
      <w:r w:rsidRPr="00FB6D10">
        <w:t xml:space="preserve">; </w:t>
      </w:r>
    </w:p>
    <w:p w14:paraId="435838FE" w14:textId="044AA32C" w:rsidR="00B12192" w:rsidRPr="00FB6D10" w:rsidRDefault="00B12192" w:rsidP="00B12192">
      <w:pPr>
        <w:pStyle w:val="ListParagraph"/>
        <w:numPr>
          <w:ilvl w:val="0"/>
          <w:numId w:val="27"/>
        </w:numPr>
        <w:spacing w:after="120" w:line="276" w:lineRule="auto"/>
      </w:pPr>
      <w:r w:rsidRPr="00FB6D10">
        <w:t>behaved towards a child</w:t>
      </w:r>
      <w:r w:rsidR="00DD301B" w:rsidRPr="00FB6D10">
        <w:t>/adult</w:t>
      </w:r>
      <w:r w:rsidRPr="00FB6D10">
        <w:t xml:space="preserve"> in a way that indicates he or she may pose a risk of harm to children</w:t>
      </w:r>
      <w:r w:rsidR="00DD301B" w:rsidRPr="00FB6D10">
        <w:t>/vulnerable adults</w:t>
      </w:r>
      <w:r w:rsidRPr="00FB6D10">
        <w:t xml:space="preserve">; </w:t>
      </w:r>
      <w:r w:rsidR="006A15A6" w:rsidRPr="00FB6D10">
        <w:t>or</w:t>
      </w:r>
    </w:p>
    <w:p w14:paraId="2A8F4B41" w14:textId="7C751E53" w:rsidR="00B12192" w:rsidRPr="00FB6D10" w:rsidRDefault="00B12192" w:rsidP="00B12192">
      <w:pPr>
        <w:pStyle w:val="ListParagraph"/>
        <w:numPr>
          <w:ilvl w:val="0"/>
          <w:numId w:val="27"/>
        </w:numPr>
        <w:spacing w:after="120" w:line="276" w:lineRule="auto"/>
      </w:pPr>
      <w:r w:rsidRPr="00FB6D10">
        <w:lastRenderedPageBreak/>
        <w:t>or behaved or may have behaved in a way that indicates they may not be suitable to work with children</w:t>
      </w:r>
      <w:r w:rsidR="00DD301B" w:rsidRPr="00FB6D10">
        <w:t>/vulnerable adults</w:t>
      </w:r>
      <w:r w:rsidR="006A15A6" w:rsidRPr="00FB6D10">
        <w:t>,</w:t>
      </w:r>
    </w:p>
    <w:p w14:paraId="7650554D" w14:textId="0C156894" w:rsidR="00B12192" w:rsidRPr="00FB6D10" w:rsidRDefault="006A15A6" w:rsidP="00B12192">
      <w:r w:rsidRPr="00FB6D10">
        <w:t>a</w:t>
      </w:r>
      <w:r w:rsidR="00B12192" w:rsidRPr="00FB6D10">
        <w:t xml:space="preserve"> referral should be sent to the LADO within one working day, giving as much detail as possible.</w:t>
      </w:r>
    </w:p>
    <w:p w14:paraId="4C966938" w14:textId="78B58979" w:rsidR="005E5BDE" w:rsidRPr="00FB6D10" w:rsidRDefault="005E5BDE" w:rsidP="00485897"/>
    <w:p w14:paraId="3A4092BE" w14:textId="7962D025" w:rsidR="003B3583" w:rsidRPr="00FB6D10" w:rsidRDefault="00947B6B" w:rsidP="00367356">
      <w:r w:rsidRPr="00FB6D10">
        <w:t>Details regarding allegations</w:t>
      </w:r>
      <w:r w:rsidR="00043963" w:rsidRPr="00FB6D10">
        <w:t xml:space="preserve"> that meet the harms threshold</w:t>
      </w:r>
      <w:r w:rsidR="00367356" w:rsidRPr="00FB6D10">
        <w:t xml:space="preserve"> and</w:t>
      </w:r>
      <w:r w:rsidR="00043963" w:rsidRPr="00FB6D10">
        <w:t xml:space="preserve"> concerns that do not meet the allegations threshold (referred to as ‘low level concerns’)</w:t>
      </w:r>
      <w:r w:rsidR="00355A8C" w:rsidRPr="00FB6D10">
        <w:t xml:space="preserve">, including who will take responsibility for this once a candidate is placed, </w:t>
      </w:r>
      <w:r w:rsidRPr="00FB6D10">
        <w:t xml:space="preserve">are set out in </w:t>
      </w:r>
      <w:r w:rsidR="00FB6D10" w:rsidRPr="00FB6D10">
        <w:t>Tara Professional Recruitment</w:t>
      </w:r>
      <w:r w:rsidR="00D261D5" w:rsidRPr="00FB6D10">
        <w:t>’s</w:t>
      </w:r>
      <w:r w:rsidRPr="00FB6D10">
        <w:t xml:space="preserve"> Al</w:t>
      </w:r>
      <w:r w:rsidR="005E7A51" w:rsidRPr="00FB6D10">
        <w:t>l</w:t>
      </w:r>
      <w:r w:rsidRPr="00FB6D10">
        <w:t>egation Policy</w:t>
      </w:r>
      <w:r w:rsidR="005E7A51" w:rsidRPr="00FB6D10">
        <w:t xml:space="preserve"> which should be read alongside this</w:t>
      </w:r>
      <w:r w:rsidR="008D563E" w:rsidRPr="00FB6D10">
        <w:t xml:space="preserve"> policy</w:t>
      </w:r>
      <w:r w:rsidR="005E7A51" w:rsidRPr="00FB6D10">
        <w:t xml:space="preserve">. </w:t>
      </w:r>
    </w:p>
    <w:p w14:paraId="2B2B2738" w14:textId="77777777" w:rsidR="00367356" w:rsidRPr="00FB6D10" w:rsidRDefault="00367356" w:rsidP="00367356"/>
    <w:p w14:paraId="7F552885" w14:textId="1101E5B8" w:rsidR="00485897" w:rsidRPr="00FB6D10" w:rsidRDefault="0420273B">
      <w:pPr>
        <w:pStyle w:val="Heading3"/>
        <w:rPr>
          <w:color w:val="auto"/>
        </w:rPr>
      </w:pPr>
      <w:bookmarkStart w:id="77" w:name="_Toc43803171"/>
      <w:bookmarkStart w:id="78" w:name="_Toc43803458"/>
      <w:bookmarkStart w:id="79" w:name="_Toc43803552"/>
      <w:bookmarkStart w:id="80" w:name="_Toc44670199"/>
      <w:bookmarkStart w:id="81" w:name="_Toc44670310"/>
      <w:bookmarkStart w:id="82" w:name="_Toc44670400"/>
      <w:bookmarkStart w:id="83" w:name="_Toc44670471"/>
      <w:bookmarkStart w:id="84" w:name="_Toc44670833"/>
      <w:bookmarkStart w:id="85" w:name="_Toc43803172"/>
      <w:bookmarkStart w:id="86" w:name="_Toc43803459"/>
      <w:bookmarkStart w:id="87" w:name="_Toc43803553"/>
      <w:bookmarkStart w:id="88" w:name="_Toc44670200"/>
      <w:bookmarkStart w:id="89" w:name="_Toc44670311"/>
      <w:bookmarkStart w:id="90" w:name="_Toc44670401"/>
      <w:bookmarkStart w:id="91" w:name="_Toc44670472"/>
      <w:bookmarkStart w:id="92" w:name="_Toc44670834"/>
      <w:bookmarkStart w:id="93" w:name="_Toc43803173"/>
      <w:bookmarkStart w:id="94" w:name="_Toc43803460"/>
      <w:bookmarkStart w:id="95" w:name="_Toc43803554"/>
      <w:bookmarkStart w:id="96" w:name="_Toc44670201"/>
      <w:bookmarkStart w:id="97" w:name="_Toc44670312"/>
      <w:bookmarkStart w:id="98" w:name="_Toc44670402"/>
      <w:bookmarkStart w:id="99" w:name="_Toc44670473"/>
      <w:bookmarkStart w:id="100" w:name="_Toc44670835"/>
      <w:bookmarkStart w:id="101" w:name="_Toc43803174"/>
      <w:bookmarkStart w:id="102" w:name="_Toc43803461"/>
      <w:bookmarkStart w:id="103" w:name="_Toc43803555"/>
      <w:bookmarkStart w:id="104" w:name="_Toc44670202"/>
      <w:bookmarkStart w:id="105" w:name="_Toc44670313"/>
      <w:bookmarkStart w:id="106" w:name="_Toc44670403"/>
      <w:bookmarkStart w:id="107" w:name="_Toc44670474"/>
      <w:bookmarkStart w:id="108" w:name="_Toc44670836"/>
      <w:bookmarkStart w:id="109" w:name="_Toc43803175"/>
      <w:bookmarkStart w:id="110" w:name="_Toc43803462"/>
      <w:bookmarkStart w:id="111" w:name="_Toc43803556"/>
      <w:bookmarkStart w:id="112" w:name="_Toc44670203"/>
      <w:bookmarkStart w:id="113" w:name="_Toc44670314"/>
      <w:bookmarkStart w:id="114" w:name="_Toc44670404"/>
      <w:bookmarkStart w:id="115" w:name="_Toc44670475"/>
      <w:bookmarkStart w:id="116" w:name="_Toc44670837"/>
      <w:bookmarkStart w:id="117" w:name="_Toc43803176"/>
      <w:bookmarkStart w:id="118" w:name="_Toc43803463"/>
      <w:bookmarkStart w:id="119" w:name="_Toc43803557"/>
      <w:bookmarkStart w:id="120" w:name="_Toc44670204"/>
      <w:bookmarkStart w:id="121" w:name="_Toc44670315"/>
      <w:bookmarkStart w:id="122" w:name="_Toc44670405"/>
      <w:bookmarkStart w:id="123" w:name="_Toc44670476"/>
      <w:bookmarkStart w:id="124" w:name="_Toc44670838"/>
      <w:bookmarkStart w:id="125" w:name="_Toc43803180"/>
      <w:bookmarkStart w:id="126" w:name="_Toc43803467"/>
      <w:bookmarkStart w:id="127" w:name="_Toc43803561"/>
      <w:bookmarkStart w:id="128" w:name="_Toc44670208"/>
      <w:bookmarkStart w:id="129" w:name="_Toc44670319"/>
      <w:bookmarkStart w:id="130" w:name="_Toc44670409"/>
      <w:bookmarkStart w:id="131" w:name="_Toc44670480"/>
      <w:bookmarkStart w:id="132" w:name="_Toc44670842"/>
      <w:bookmarkStart w:id="133" w:name="_Toc43803181"/>
      <w:bookmarkStart w:id="134" w:name="_Toc43803468"/>
      <w:bookmarkStart w:id="135" w:name="_Toc43803562"/>
      <w:bookmarkStart w:id="136" w:name="_Toc44670209"/>
      <w:bookmarkStart w:id="137" w:name="_Toc44670320"/>
      <w:bookmarkStart w:id="138" w:name="_Toc44670410"/>
      <w:bookmarkStart w:id="139" w:name="_Toc44670481"/>
      <w:bookmarkStart w:id="140" w:name="_Toc44670843"/>
      <w:bookmarkStart w:id="141" w:name="_Toc43803182"/>
      <w:bookmarkStart w:id="142" w:name="_Toc43803469"/>
      <w:bookmarkStart w:id="143" w:name="_Toc43803563"/>
      <w:bookmarkStart w:id="144" w:name="_Toc44670210"/>
      <w:bookmarkStart w:id="145" w:name="_Toc44670321"/>
      <w:bookmarkStart w:id="146" w:name="_Toc44670411"/>
      <w:bookmarkStart w:id="147" w:name="_Toc44670482"/>
      <w:bookmarkStart w:id="148" w:name="_Toc44670844"/>
      <w:bookmarkStart w:id="149" w:name="_Toc43803183"/>
      <w:bookmarkStart w:id="150" w:name="_Toc43803470"/>
      <w:bookmarkStart w:id="151" w:name="_Toc43803564"/>
      <w:bookmarkStart w:id="152" w:name="_Toc44670211"/>
      <w:bookmarkStart w:id="153" w:name="_Toc44670322"/>
      <w:bookmarkStart w:id="154" w:name="_Toc44670412"/>
      <w:bookmarkStart w:id="155" w:name="_Toc44670483"/>
      <w:bookmarkStart w:id="156" w:name="_Toc44670845"/>
      <w:bookmarkStart w:id="157" w:name="_Toc43803184"/>
      <w:bookmarkStart w:id="158" w:name="_Toc43803471"/>
      <w:bookmarkStart w:id="159" w:name="_Toc43803565"/>
      <w:bookmarkStart w:id="160" w:name="_Toc44670212"/>
      <w:bookmarkStart w:id="161" w:name="_Toc44670323"/>
      <w:bookmarkStart w:id="162" w:name="_Toc44670413"/>
      <w:bookmarkStart w:id="163" w:name="_Toc44670484"/>
      <w:bookmarkStart w:id="164" w:name="_Toc44670846"/>
      <w:bookmarkStart w:id="165" w:name="_Toc43803185"/>
      <w:bookmarkStart w:id="166" w:name="_Toc43803472"/>
      <w:bookmarkStart w:id="167" w:name="_Toc43803566"/>
      <w:bookmarkStart w:id="168" w:name="_Toc44670213"/>
      <w:bookmarkStart w:id="169" w:name="_Toc44670324"/>
      <w:bookmarkStart w:id="170" w:name="_Toc44670414"/>
      <w:bookmarkStart w:id="171" w:name="_Toc44670485"/>
      <w:bookmarkStart w:id="172" w:name="_Toc44670847"/>
      <w:bookmarkStart w:id="173" w:name="_Toc43803186"/>
      <w:bookmarkStart w:id="174" w:name="_Toc43803473"/>
      <w:bookmarkStart w:id="175" w:name="_Toc43803567"/>
      <w:bookmarkStart w:id="176" w:name="_Toc44670214"/>
      <w:bookmarkStart w:id="177" w:name="_Toc44670325"/>
      <w:bookmarkStart w:id="178" w:name="_Toc44670415"/>
      <w:bookmarkStart w:id="179" w:name="_Toc44670486"/>
      <w:bookmarkStart w:id="180" w:name="_Toc44670848"/>
      <w:bookmarkStart w:id="181" w:name="_Toc43803187"/>
      <w:bookmarkStart w:id="182" w:name="_Toc43803474"/>
      <w:bookmarkStart w:id="183" w:name="_Toc43803568"/>
      <w:bookmarkStart w:id="184" w:name="_Toc44670215"/>
      <w:bookmarkStart w:id="185" w:name="_Toc44670326"/>
      <w:bookmarkStart w:id="186" w:name="_Toc44670416"/>
      <w:bookmarkStart w:id="187" w:name="_Toc44670487"/>
      <w:bookmarkStart w:id="188" w:name="_Toc44670849"/>
      <w:bookmarkStart w:id="189" w:name="_Toc43803188"/>
      <w:bookmarkStart w:id="190" w:name="_Toc43803475"/>
      <w:bookmarkStart w:id="191" w:name="_Toc43803569"/>
      <w:bookmarkStart w:id="192" w:name="_Toc44670216"/>
      <w:bookmarkStart w:id="193" w:name="_Toc44670327"/>
      <w:bookmarkStart w:id="194" w:name="_Toc44670417"/>
      <w:bookmarkStart w:id="195" w:name="_Toc44670488"/>
      <w:bookmarkStart w:id="196" w:name="_Toc44670850"/>
      <w:bookmarkStart w:id="197" w:name="_Toc43803189"/>
      <w:bookmarkStart w:id="198" w:name="_Toc43803476"/>
      <w:bookmarkStart w:id="199" w:name="_Toc43803570"/>
      <w:bookmarkStart w:id="200" w:name="_Toc44670217"/>
      <w:bookmarkStart w:id="201" w:name="_Toc44670328"/>
      <w:bookmarkStart w:id="202" w:name="_Toc44670418"/>
      <w:bookmarkStart w:id="203" w:name="_Toc44670489"/>
      <w:bookmarkStart w:id="204" w:name="_Toc44670851"/>
      <w:bookmarkStart w:id="205" w:name="_Toc43803190"/>
      <w:bookmarkStart w:id="206" w:name="_Toc44670852"/>
      <w:bookmarkStart w:id="207" w:name="_Toc1011532580"/>
      <w:bookmarkStart w:id="208" w:name="_Toc906832851"/>
      <w:bookmarkStart w:id="209" w:name="_Toc36088286"/>
      <w:bookmarkStart w:id="210" w:name="_Toc1802827814"/>
      <w:bookmarkStart w:id="211" w:name="_Toc429727940"/>
      <w:bookmarkStart w:id="212" w:name="_Toc709575245"/>
      <w:bookmarkStart w:id="213" w:name="_Toc17679731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FB6D10">
        <w:rPr>
          <w:color w:val="auto"/>
        </w:rPr>
        <w:t>Duty to make a referral to the DBS</w:t>
      </w:r>
      <w:bookmarkEnd w:id="205"/>
      <w:bookmarkEnd w:id="206"/>
      <w:bookmarkEnd w:id="207"/>
      <w:bookmarkEnd w:id="208"/>
      <w:bookmarkEnd w:id="209"/>
      <w:bookmarkEnd w:id="210"/>
      <w:bookmarkEnd w:id="211"/>
      <w:bookmarkEnd w:id="212"/>
      <w:bookmarkEnd w:id="213"/>
    </w:p>
    <w:p w14:paraId="10D6796C" w14:textId="77777777" w:rsidR="00FC74C0" w:rsidRPr="00FB6D10" w:rsidRDefault="00FC74C0" w:rsidP="00FC74C0">
      <w:pPr>
        <w:rPr>
          <w:sz w:val="16"/>
          <w:szCs w:val="16"/>
        </w:rPr>
      </w:pPr>
    </w:p>
    <w:p w14:paraId="01007E51" w14:textId="212B3767" w:rsidR="00485897" w:rsidRPr="00FB6D10" w:rsidRDefault="00485897" w:rsidP="00485897">
      <w:r w:rsidRPr="00FB6D10">
        <w:t xml:space="preserve">Where there is evidence that anyone has harmed, or poses a risk of harm, to a child or </w:t>
      </w:r>
      <w:r w:rsidR="006B62A3" w:rsidRPr="00FB6D10">
        <w:t>adult at risk</w:t>
      </w:r>
      <w:r w:rsidRPr="00FB6D10">
        <w:t xml:space="preserve">, there is a legal duty on </w:t>
      </w:r>
      <w:r w:rsidR="00FB6D10" w:rsidRPr="00FB6D10">
        <w:t>Tara Professional Recruitment</w:t>
      </w:r>
      <w:r w:rsidRPr="00FB6D10">
        <w:t xml:space="preserve"> to report that person to the Disclosure and Barring Service using their guidance</w:t>
      </w:r>
      <w:r w:rsidR="00873A48" w:rsidRPr="00FB6D10">
        <w:t xml:space="preserve"> a</w:t>
      </w:r>
      <w:r w:rsidRPr="00FB6D10">
        <w:t xml:space="preserve">vailable </w:t>
      </w:r>
      <w:hyperlink r:id="rId17" w:history="1">
        <w:r w:rsidRPr="00FB6D10">
          <w:rPr>
            <w:rStyle w:val="Hyperlink"/>
            <w:color w:val="auto"/>
          </w:rPr>
          <w:t>here</w:t>
        </w:r>
      </w:hyperlink>
      <w:r w:rsidR="002C3236" w:rsidRPr="00FB6D10">
        <w:t>.</w:t>
      </w:r>
      <w:r w:rsidRPr="00FB6D10">
        <w:t xml:space="preserve"> The DBS has statutory authority to bar a person from working in regulated activity with children and/or </w:t>
      </w:r>
      <w:r w:rsidR="0029704C" w:rsidRPr="00FB6D10">
        <w:t>adults at risk</w:t>
      </w:r>
      <w:r w:rsidRPr="00FB6D10">
        <w:t xml:space="preserve"> in the UK.</w:t>
      </w:r>
    </w:p>
    <w:p w14:paraId="0AFA909E" w14:textId="77777777" w:rsidR="00485897" w:rsidRPr="00FB6D10" w:rsidRDefault="00485897" w:rsidP="00485897"/>
    <w:p w14:paraId="498AB0CD" w14:textId="6E64A1AE" w:rsidR="00485897" w:rsidRPr="00FB6D10" w:rsidRDefault="00CB0038" w:rsidP="00485897">
      <w:r w:rsidRPr="00FB6D10">
        <w:t>A r</w:t>
      </w:r>
      <w:r w:rsidR="00485897" w:rsidRPr="00FB6D10">
        <w:t>eferral to the DBS will also be made if the person resigns prior to an investigation being carried out or reaching its conclusion. If the accused person resigns, or ceases to provide their services, this should not prevent an allegation being followed up in accordance with this guidance.</w:t>
      </w:r>
    </w:p>
    <w:p w14:paraId="68AD7EAD" w14:textId="77777777" w:rsidR="00485897" w:rsidRPr="00FB6D10" w:rsidRDefault="00485897" w:rsidP="00485897"/>
    <w:p w14:paraId="62E19F0B" w14:textId="1D168AB4" w:rsidR="00485897" w:rsidRPr="00FB6D10" w:rsidRDefault="00485897" w:rsidP="00485897">
      <w:r w:rsidRPr="00FB6D10">
        <w:t>The</w:t>
      </w:r>
      <w:r w:rsidR="0069388A" w:rsidRPr="00FB6D10">
        <w:t xml:space="preserve"> </w:t>
      </w:r>
      <w:r w:rsidR="00FB6D10" w:rsidRPr="00FB6D10">
        <w:t>Tara Professional Recruitment</w:t>
      </w:r>
      <w:r w:rsidRPr="00FB6D10">
        <w:t xml:space="preserve"> will not make any compromise/settlement agreement in the case of a person deemed unsuitable to work with children</w:t>
      </w:r>
      <w:r w:rsidR="006A31DE" w:rsidRPr="00FB6D10">
        <w:t>/vulnerable adults</w:t>
      </w:r>
      <w:r w:rsidRPr="00FB6D10">
        <w:t>. Any such agreement which contained a condition of not referring the case to the DBS would constitute a criminal offence.</w:t>
      </w:r>
    </w:p>
    <w:p w14:paraId="049F4DEE" w14:textId="77777777" w:rsidR="00485897" w:rsidRPr="00FB6D10" w:rsidRDefault="00485897" w:rsidP="00485897"/>
    <w:p w14:paraId="33330861" w14:textId="5D965394" w:rsidR="0011328F" w:rsidRPr="00FB6D10" w:rsidRDefault="00485897" w:rsidP="00FC74C0">
      <w:r w:rsidRPr="00FB6D10">
        <w:t xml:space="preserve">Anyone who is concerned about a child’s or </w:t>
      </w:r>
      <w:r w:rsidR="00534002" w:rsidRPr="00FB6D10">
        <w:t>adult at risk</w:t>
      </w:r>
      <w:r w:rsidR="00456359" w:rsidRPr="00FB6D10">
        <w:t>’s</w:t>
      </w:r>
      <w:r w:rsidRPr="00FB6D10">
        <w:t xml:space="preserve"> welfare or who believe that a child or adult</w:t>
      </w:r>
      <w:r w:rsidR="00456359" w:rsidRPr="00FB6D10">
        <w:t xml:space="preserve"> at risk</w:t>
      </w:r>
      <w:r w:rsidRPr="00FB6D10">
        <w:t xml:space="preserve"> may be at risk of abuse should pass any information to the DBS or other appropriate authority as soon as possible and no longer than 24 hours after the initial concern.</w:t>
      </w:r>
    </w:p>
    <w:p w14:paraId="6B112EFA" w14:textId="77777777" w:rsidR="00FC74C0" w:rsidRPr="00FB6D10" w:rsidRDefault="00FC74C0" w:rsidP="00FC74C0">
      <w:pPr>
        <w:rPr>
          <w:sz w:val="28"/>
          <w:szCs w:val="28"/>
        </w:rPr>
      </w:pPr>
    </w:p>
    <w:p w14:paraId="600117DD" w14:textId="59828B67" w:rsidR="00485897" w:rsidRPr="00FB6D10" w:rsidRDefault="0420273B" w:rsidP="00485897">
      <w:pPr>
        <w:pStyle w:val="Heading3"/>
        <w:rPr>
          <w:color w:val="auto"/>
        </w:rPr>
      </w:pPr>
      <w:bookmarkStart w:id="214" w:name="_Toc43803191"/>
      <w:bookmarkStart w:id="215" w:name="_Toc44670853"/>
      <w:bookmarkStart w:id="216" w:name="_Toc1901144607"/>
      <w:bookmarkStart w:id="217" w:name="_Toc260661832"/>
      <w:bookmarkStart w:id="218" w:name="_Toc415510516"/>
      <w:bookmarkStart w:id="219" w:name="_Toc964755944"/>
      <w:bookmarkStart w:id="220" w:name="_Toc1285499959"/>
      <w:bookmarkStart w:id="221" w:name="_Toc2072833810"/>
      <w:bookmarkStart w:id="222" w:name="_Toc176797319"/>
      <w:r w:rsidRPr="00FB6D10">
        <w:rPr>
          <w:color w:val="auto"/>
        </w:rPr>
        <w:t>Whistle</w:t>
      </w:r>
      <w:r w:rsidR="5CBA050F" w:rsidRPr="00FB6D10">
        <w:rPr>
          <w:color w:val="auto"/>
        </w:rPr>
        <w:t>b</w:t>
      </w:r>
      <w:r w:rsidRPr="00FB6D10">
        <w:rPr>
          <w:color w:val="auto"/>
        </w:rPr>
        <w:t>lowing</w:t>
      </w:r>
      <w:bookmarkEnd w:id="214"/>
      <w:bookmarkEnd w:id="215"/>
      <w:bookmarkEnd w:id="216"/>
      <w:bookmarkEnd w:id="217"/>
      <w:bookmarkEnd w:id="218"/>
      <w:bookmarkEnd w:id="219"/>
      <w:bookmarkEnd w:id="220"/>
      <w:bookmarkEnd w:id="221"/>
      <w:bookmarkEnd w:id="222"/>
    </w:p>
    <w:p w14:paraId="7D5182F2" w14:textId="752F282A" w:rsidR="00485897" w:rsidRPr="00FB6D10" w:rsidRDefault="000A3E7C" w:rsidP="00FC74C0">
      <w:r w:rsidRPr="00FB6D10">
        <w:t>Candidates</w:t>
      </w:r>
      <w:r w:rsidR="00EE6B8B" w:rsidRPr="00FB6D10">
        <w:t xml:space="preserve"> may find it difficult to raise concerns about colleagues, managers</w:t>
      </w:r>
      <w:r w:rsidR="00AA137E" w:rsidRPr="00FB6D10">
        <w:t xml:space="preserve">, </w:t>
      </w:r>
      <w:r w:rsidR="008D563E" w:rsidRPr="00FB6D10">
        <w:t>people in placement</w:t>
      </w:r>
      <w:r w:rsidR="00EE6B8B" w:rsidRPr="00FB6D10">
        <w:t xml:space="preserve"> or </w:t>
      </w:r>
      <w:r w:rsidR="008D563E" w:rsidRPr="00FB6D10">
        <w:t xml:space="preserve">concerning </w:t>
      </w:r>
      <w:r w:rsidR="00EE6B8B" w:rsidRPr="00FB6D10">
        <w:t xml:space="preserve">how safeguarding concerns are responded to within a setting. </w:t>
      </w:r>
      <w:r w:rsidR="00FB6D10" w:rsidRPr="00FB6D10">
        <w:t>Tara Professional Recruitment</w:t>
      </w:r>
      <w:r w:rsidR="00EE6B8B" w:rsidRPr="00FB6D10">
        <w:t xml:space="preserve"> has a specific </w:t>
      </w:r>
      <w:r w:rsidR="008D563E" w:rsidRPr="00FB6D10">
        <w:t>W</w:t>
      </w:r>
      <w:r w:rsidR="00EE6B8B" w:rsidRPr="00FB6D10">
        <w:t xml:space="preserve">histleblowing </w:t>
      </w:r>
      <w:r w:rsidR="00B61210" w:rsidRPr="00FB6D10">
        <w:t>P</w:t>
      </w:r>
      <w:r w:rsidR="00EE6B8B" w:rsidRPr="00FB6D10">
        <w:t xml:space="preserve">olicy which encourages </w:t>
      </w:r>
      <w:r w:rsidR="00E623A5" w:rsidRPr="00FB6D10">
        <w:t>candidates</w:t>
      </w:r>
      <w:r w:rsidR="00EE6B8B" w:rsidRPr="00FB6D10">
        <w:t xml:space="preserve"> to raise concerns </w:t>
      </w:r>
      <w:proofErr w:type="gramStart"/>
      <w:r w:rsidR="00EE6B8B" w:rsidRPr="00FB6D10">
        <w:t>and also</w:t>
      </w:r>
      <w:proofErr w:type="gramEnd"/>
      <w:r w:rsidR="00EE6B8B" w:rsidRPr="00FB6D10">
        <w:t xml:space="preserve"> provides details of outside organisations that </w:t>
      </w:r>
      <w:r w:rsidR="00E623A5" w:rsidRPr="00FB6D10">
        <w:t>candidates</w:t>
      </w:r>
      <w:r w:rsidR="00EE6B8B" w:rsidRPr="00FB6D10">
        <w:t xml:space="preserve"> can approach for support and advice.</w:t>
      </w:r>
      <w:r w:rsidR="0076250A" w:rsidRPr="00FB6D10">
        <w:t xml:space="preserve"> </w:t>
      </w:r>
      <w:r w:rsidR="00FB6D10" w:rsidRPr="00FB6D10">
        <w:t>Tara Professional Recruitment</w:t>
      </w:r>
      <w:r w:rsidR="00D21281" w:rsidRPr="00FB6D10">
        <w:t xml:space="preserve"> aims</w:t>
      </w:r>
      <w:r w:rsidR="00EE6B8B" w:rsidRPr="00FB6D10">
        <w:t xml:space="preserve"> to have an open and honest culture where safeguarding is responded to effectively, and </w:t>
      </w:r>
      <w:r w:rsidR="008D563E" w:rsidRPr="00FB6D10">
        <w:t xml:space="preserve">both staff and </w:t>
      </w:r>
      <w:r w:rsidR="00E623A5" w:rsidRPr="00FB6D10">
        <w:t>candidates</w:t>
      </w:r>
      <w:r w:rsidR="00EE6B8B" w:rsidRPr="00FB6D10">
        <w:t xml:space="preserve"> feel safe, supported and able to voice any concerns that they have in the knowledge that they will be respon</w:t>
      </w:r>
      <w:r w:rsidR="008D563E" w:rsidRPr="00FB6D10">
        <w:t>ded to.</w:t>
      </w:r>
    </w:p>
    <w:p w14:paraId="4FEF78A4" w14:textId="77777777" w:rsidR="00FC74C0" w:rsidRPr="00FB6D10" w:rsidRDefault="00FC74C0" w:rsidP="00FC74C0">
      <w:pPr>
        <w:rPr>
          <w:sz w:val="24"/>
          <w:szCs w:val="24"/>
        </w:rPr>
      </w:pPr>
    </w:p>
    <w:p w14:paraId="3B197A12" w14:textId="77777777" w:rsidR="00485897" w:rsidRPr="00FB6D10" w:rsidRDefault="0420273B" w:rsidP="00485897">
      <w:pPr>
        <w:pStyle w:val="Heading3"/>
        <w:rPr>
          <w:color w:val="auto"/>
        </w:rPr>
      </w:pPr>
      <w:bookmarkStart w:id="223" w:name="_Toc43803192"/>
      <w:bookmarkStart w:id="224" w:name="_Toc44670854"/>
      <w:bookmarkStart w:id="225" w:name="_Toc340446052"/>
      <w:bookmarkStart w:id="226" w:name="_Toc1770231795"/>
      <w:bookmarkStart w:id="227" w:name="_Toc704872559"/>
      <w:bookmarkStart w:id="228" w:name="_Toc1014440789"/>
      <w:bookmarkStart w:id="229" w:name="_Toc1094792600"/>
      <w:bookmarkStart w:id="230" w:name="_Toc900445698"/>
      <w:bookmarkStart w:id="231" w:name="_Toc176797320"/>
      <w:r w:rsidRPr="00FB6D10">
        <w:rPr>
          <w:color w:val="auto"/>
        </w:rPr>
        <w:t>Summary</w:t>
      </w:r>
      <w:bookmarkEnd w:id="223"/>
      <w:bookmarkEnd w:id="224"/>
      <w:bookmarkEnd w:id="225"/>
      <w:bookmarkEnd w:id="226"/>
      <w:bookmarkEnd w:id="227"/>
      <w:bookmarkEnd w:id="228"/>
      <w:bookmarkEnd w:id="229"/>
      <w:bookmarkEnd w:id="230"/>
      <w:bookmarkEnd w:id="231"/>
    </w:p>
    <w:p w14:paraId="3A510A03" w14:textId="1806BEE1" w:rsidR="00FB6D10" w:rsidRPr="00FB6D10" w:rsidRDefault="00FB6D10" w:rsidP="00485897">
      <w:pPr>
        <w:pStyle w:val="NormalWeb"/>
      </w:pPr>
      <w:r w:rsidRPr="00FB6D10">
        <w:t>Tara Professional Recruitment</w:t>
      </w:r>
      <w:r w:rsidR="00485897" w:rsidRPr="00FB6D10">
        <w:t xml:space="preserve"> will make clients and candidates aware of the Safeguarding Policy through </w:t>
      </w:r>
      <w:r w:rsidRPr="00FB6D10">
        <w:t>accessing from our website and providing to call clients upon request.</w:t>
      </w:r>
    </w:p>
    <w:p w14:paraId="7A7F4233" w14:textId="2F5FE9B4" w:rsidR="00485897" w:rsidRPr="00FB6D10" w:rsidRDefault="00485897" w:rsidP="00485897">
      <w:r w:rsidRPr="00FB6D10">
        <w:t xml:space="preserve">All staff, temporary workers, candidates and contractors must be aware that they have a professional duty to share information with other recruitment firms </w:t>
      </w:r>
      <w:proofErr w:type="gramStart"/>
      <w:r w:rsidRPr="00FB6D10">
        <w:t>in order to</w:t>
      </w:r>
      <w:proofErr w:type="gramEnd"/>
      <w:r w:rsidRPr="00FB6D10">
        <w:t xml:space="preserve"> safeguard children</w:t>
      </w:r>
      <w:r w:rsidR="00270949" w:rsidRPr="00FB6D10">
        <w:t>/adults at risk</w:t>
      </w:r>
      <w:r w:rsidRPr="00FB6D10">
        <w:t>. The public interest in safeguarding children</w:t>
      </w:r>
      <w:r w:rsidR="006A31DE" w:rsidRPr="00FB6D10">
        <w:t>/adults at risk</w:t>
      </w:r>
      <w:r w:rsidRPr="00FB6D10">
        <w:t xml:space="preserve"> may override confidentiality interests. However, information will be shared on a </w:t>
      </w:r>
      <w:r w:rsidR="52EBD025" w:rsidRPr="00FB6D10">
        <w:t>need-to-know</w:t>
      </w:r>
      <w:r w:rsidRPr="00FB6D10">
        <w:t xml:space="preserve"> basis only, as judged by </w:t>
      </w:r>
      <w:r w:rsidR="00FB6D10" w:rsidRPr="00FB6D10">
        <w:t>Tara Professional Recruitment</w:t>
      </w:r>
      <w:r w:rsidRPr="00FB6D10">
        <w:t>.</w:t>
      </w:r>
    </w:p>
    <w:p w14:paraId="18BDE61E" w14:textId="77777777" w:rsidR="0008245C" w:rsidRPr="00FB6D10" w:rsidRDefault="0008245C" w:rsidP="00485897"/>
    <w:p w14:paraId="737B565E" w14:textId="77777777" w:rsidR="00344E6F" w:rsidRPr="00FB6D10" w:rsidRDefault="00344E6F" w:rsidP="00485897"/>
    <w:p w14:paraId="71E407A5" w14:textId="77777777" w:rsidR="00FB6D10" w:rsidRPr="00FB6D10" w:rsidRDefault="00FB6D10" w:rsidP="00485897"/>
    <w:p w14:paraId="0CF9AC66" w14:textId="77777777" w:rsidR="00FB6D10" w:rsidRPr="00FB6D10" w:rsidRDefault="00FB6D10" w:rsidP="00485897"/>
    <w:p w14:paraId="6BC07AC1" w14:textId="77777777" w:rsidR="00FB6D10" w:rsidRPr="00FB6D10" w:rsidRDefault="00FB6D10" w:rsidP="00485897"/>
    <w:p w14:paraId="20AE52D8" w14:textId="77777777" w:rsidR="00FB6D10" w:rsidRPr="00FB6D10" w:rsidRDefault="00FB6D10" w:rsidP="00485897"/>
    <w:p w14:paraId="3F8C8505" w14:textId="77777777" w:rsidR="00FB6D10" w:rsidRPr="00FB6D10" w:rsidRDefault="00FB6D10" w:rsidP="00485897"/>
    <w:p w14:paraId="4877548C" w14:textId="77777777" w:rsidR="00CF513D" w:rsidRPr="00FB6D10" w:rsidRDefault="00CF513D" w:rsidP="00CF513D">
      <w:pPr>
        <w:pStyle w:val="Heading1"/>
        <w:rPr>
          <w:rFonts w:ascii="Tahoma" w:eastAsiaTheme="minorHAnsi" w:hAnsi="Tahoma" w:cs="Tahoma"/>
          <w:b/>
          <w:color w:val="auto"/>
          <w:sz w:val="20"/>
          <w:szCs w:val="20"/>
          <w:lang w:eastAsia="en-US"/>
        </w:rPr>
      </w:pPr>
      <w:bookmarkStart w:id="232" w:name="_Toc497475574"/>
      <w:bookmarkStart w:id="233" w:name="_Toc170474306"/>
      <w:bookmarkStart w:id="234" w:name="_Toc170644316"/>
      <w:bookmarkStart w:id="235" w:name="_Toc176797321"/>
      <w:r w:rsidRPr="00FB6D10">
        <w:rPr>
          <w:rFonts w:ascii="Tahoma" w:eastAsiaTheme="minorHAnsi" w:hAnsi="Tahoma" w:cs="Tahoma"/>
          <w:b/>
          <w:color w:val="auto"/>
          <w:sz w:val="20"/>
          <w:szCs w:val="20"/>
          <w:lang w:eastAsia="en-US"/>
        </w:rPr>
        <w:lastRenderedPageBreak/>
        <w:t>Appendix</w:t>
      </w:r>
      <w:bookmarkEnd w:id="232"/>
      <w:bookmarkEnd w:id="233"/>
      <w:bookmarkEnd w:id="234"/>
      <w:bookmarkEnd w:id="235"/>
      <w:r w:rsidRPr="00FB6D10">
        <w:rPr>
          <w:rFonts w:ascii="Tahoma" w:eastAsiaTheme="minorHAnsi" w:hAnsi="Tahoma" w:cs="Tahoma"/>
          <w:b/>
          <w:color w:val="auto"/>
          <w:sz w:val="20"/>
          <w:szCs w:val="20"/>
          <w:lang w:eastAsia="en-US"/>
        </w:rPr>
        <w:fldChar w:fldCharType="begin"/>
      </w:r>
      <w:r w:rsidRPr="00FB6D10">
        <w:rPr>
          <w:rFonts w:ascii="Tahoma" w:eastAsiaTheme="minorHAnsi" w:hAnsi="Tahoma" w:cs="Tahoma"/>
          <w:b/>
          <w:color w:val="auto"/>
          <w:sz w:val="20"/>
          <w:szCs w:val="20"/>
          <w:lang w:eastAsia="en-US"/>
        </w:rPr>
        <w:instrText xml:space="preserve"> XE "Appendix" </w:instrText>
      </w:r>
      <w:r w:rsidRPr="00FB6D10">
        <w:rPr>
          <w:rFonts w:ascii="Tahoma" w:eastAsiaTheme="minorHAnsi" w:hAnsi="Tahoma" w:cs="Tahoma"/>
          <w:b/>
          <w:color w:val="auto"/>
          <w:sz w:val="20"/>
          <w:szCs w:val="20"/>
          <w:lang w:eastAsia="en-US"/>
        </w:rPr>
        <w:fldChar w:fldCharType="end"/>
      </w:r>
      <w:r w:rsidRPr="00FB6D10">
        <w:rPr>
          <w:rFonts w:ascii="Tahoma" w:eastAsiaTheme="minorHAnsi" w:hAnsi="Tahoma" w:cs="Tahoma"/>
          <w:b/>
          <w:color w:val="auto"/>
          <w:sz w:val="20"/>
          <w:szCs w:val="20"/>
          <w:lang w:eastAsia="en-US"/>
        </w:rPr>
        <w:t xml:space="preserve"> </w:t>
      </w:r>
    </w:p>
    <w:p w14:paraId="24F36B35" w14:textId="77777777" w:rsidR="00CF513D" w:rsidRPr="00FB6D10" w:rsidRDefault="00CF513D" w:rsidP="00CF513D"/>
    <w:p w14:paraId="29649CC2" w14:textId="77777777" w:rsidR="00CF513D" w:rsidRPr="00FB6D10" w:rsidRDefault="00CF513D" w:rsidP="00CF513D">
      <w:pPr>
        <w:pStyle w:val="APSTITLE"/>
        <w:rPr>
          <w:rFonts w:ascii="Tahoma" w:hAnsi="Tahoma" w:cs="Tahoma"/>
          <w:color w:val="auto"/>
          <w:sz w:val="20"/>
          <w:szCs w:val="20"/>
        </w:rPr>
      </w:pPr>
      <w:bookmarkStart w:id="236" w:name="_Toc497475575"/>
      <w:r w:rsidRPr="00FB6D10">
        <w:rPr>
          <w:rFonts w:ascii="Tahoma" w:hAnsi="Tahoma" w:cs="Tahoma"/>
          <w:color w:val="auto"/>
          <w:sz w:val="20"/>
          <w:szCs w:val="20"/>
        </w:rPr>
        <w:t xml:space="preserve">List of relevant </w:t>
      </w:r>
      <w:bookmarkEnd w:id="236"/>
      <w:r w:rsidRPr="00FB6D10">
        <w:rPr>
          <w:rFonts w:ascii="Tahoma" w:hAnsi="Tahoma" w:cs="Tahoma"/>
          <w:color w:val="auto"/>
          <w:sz w:val="20"/>
          <w:szCs w:val="20"/>
        </w:rPr>
        <w:t>legislation and guidance governing this policy</w:t>
      </w:r>
    </w:p>
    <w:p w14:paraId="196818DD" w14:textId="1768EBD4" w:rsidR="00FB6D10" w:rsidRPr="00FB6D10" w:rsidRDefault="00FB6D10" w:rsidP="00CF513D">
      <w:pPr>
        <w:pStyle w:val="APSTITLE"/>
        <w:rPr>
          <w:rFonts w:ascii="Tahoma" w:hAnsi="Tahoma" w:cs="Tahoma"/>
          <w:b w:val="0"/>
          <w:bCs/>
          <w:color w:val="auto"/>
          <w:sz w:val="18"/>
          <w:szCs w:val="18"/>
          <w:u w:val="single"/>
        </w:rPr>
      </w:pPr>
      <w:r w:rsidRPr="00FB6D10">
        <w:rPr>
          <w:rFonts w:ascii="Tahoma" w:hAnsi="Tahoma" w:cs="Tahoma"/>
          <w:b w:val="0"/>
          <w:bCs/>
          <w:color w:val="auto"/>
          <w:sz w:val="18"/>
          <w:szCs w:val="18"/>
          <w:u w:val="single"/>
        </w:rPr>
        <w:t>Legislation / Regulation / Guidance</w:t>
      </w:r>
      <w:r w:rsidRPr="00FB6D10">
        <w:rPr>
          <w:rFonts w:ascii="Tahoma" w:hAnsi="Tahoma" w:cs="Tahoma"/>
          <w:b w:val="0"/>
          <w:bCs/>
          <w:color w:val="auto"/>
          <w:sz w:val="18"/>
          <w:szCs w:val="18"/>
        </w:rPr>
        <w:tab/>
      </w:r>
      <w:r w:rsidRPr="00FB6D10">
        <w:rPr>
          <w:rFonts w:ascii="Tahoma" w:hAnsi="Tahoma" w:cs="Tahoma"/>
          <w:b w:val="0"/>
          <w:bCs/>
          <w:color w:val="auto"/>
          <w:sz w:val="18"/>
          <w:szCs w:val="18"/>
        </w:rPr>
        <w:tab/>
      </w:r>
      <w:r w:rsidRPr="00FB6D10">
        <w:rPr>
          <w:rFonts w:ascii="Tahoma" w:hAnsi="Tahoma" w:cs="Tahoma"/>
          <w:b w:val="0"/>
          <w:bCs/>
          <w:color w:val="auto"/>
          <w:sz w:val="18"/>
          <w:szCs w:val="18"/>
          <w:u w:val="single"/>
        </w:rPr>
        <w:t>Web Address</w:t>
      </w:r>
    </w:p>
    <w:tbl>
      <w:tblPr>
        <w:tblW w:w="9498" w:type="dxa"/>
        <w:tblLayout w:type="fixed"/>
        <w:tblCellMar>
          <w:top w:w="28" w:type="dxa"/>
          <w:left w:w="85" w:type="dxa"/>
          <w:bottom w:w="28" w:type="dxa"/>
          <w:right w:w="85" w:type="dxa"/>
        </w:tblCellMar>
        <w:tblLook w:val="01E0" w:firstRow="1" w:lastRow="1" w:firstColumn="1" w:lastColumn="1" w:noHBand="0" w:noVBand="0"/>
      </w:tblPr>
      <w:tblGrid>
        <w:gridCol w:w="3119"/>
        <w:gridCol w:w="6379"/>
      </w:tblGrid>
      <w:tr w:rsidR="00FB6D10" w:rsidRPr="00FB6D10" w14:paraId="6AE58918" w14:textId="77777777" w:rsidTr="00372F5B">
        <w:trPr>
          <w:trHeight w:val="240"/>
        </w:trPr>
        <w:tc>
          <w:tcPr>
            <w:tcW w:w="3119" w:type="dxa"/>
            <w:tcBorders>
              <w:bottom w:val="single" w:sz="8" w:space="0" w:color="234585"/>
              <w:right w:val="single" w:sz="18" w:space="0" w:color="FFFFFF"/>
            </w:tcBorders>
            <w:shd w:val="clear" w:color="auto" w:fill="auto"/>
          </w:tcPr>
          <w:p w14:paraId="5F1D149C"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Keeping Children Safe in Education</w:t>
            </w:r>
          </w:p>
        </w:tc>
        <w:tc>
          <w:tcPr>
            <w:tcW w:w="6379" w:type="dxa"/>
            <w:tcBorders>
              <w:left w:val="single" w:sz="18" w:space="0" w:color="FFFFFF"/>
              <w:bottom w:val="single" w:sz="8" w:space="0" w:color="234585"/>
            </w:tcBorders>
            <w:shd w:val="clear" w:color="auto" w:fill="auto"/>
          </w:tcPr>
          <w:p w14:paraId="79AC87E0"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hyperlink r:id="rId18" w:history="1">
              <w:r w:rsidRPr="00FB6D10">
                <w:rPr>
                  <w:rStyle w:val="Hyperlink"/>
                  <w:rFonts w:asciiTheme="minorHAnsi" w:hAnsiTheme="minorHAnsi" w:cstheme="minorHAnsi"/>
                  <w:color w:val="auto"/>
                  <w:sz w:val="18"/>
                  <w:lang w:val="en-GB"/>
                </w:rPr>
                <w:t>https://www.gov.uk/government/publications/keeping-children-safe-in-education--2</w:t>
              </w:r>
            </w:hyperlink>
          </w:p>
        </w:tc>
      </w:tr>
      <w:tr w:rsidR="00FB6D10" w:rsidRPr="00FB6D10" w14:paraId="61C0BF89"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02C94D24"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Children Act 1989</w:t>
            </w:r>
          </w:p>
        </w:tc>
        <w:tc>
          <w:tcPr>
            <w:tcW w:w="6379" w:type="dxa"/>
            <w:tcBorders>
              <w:top w:val="single" w:sz="8" w:space="0" w:color="234585"/>
              <w:left w:val="single" w:sz="18" w:space="0" w:color="FFFFFF"/>
              <w:bottom w:val="single" w:sz="8" w:space="0" w:color="234585"/>
            </w:tcBorders>
            <w:shd w:val="clear" w:color="auto" w:fill="auto"/>
          </w:tcPr>
          <w:p w14:paraId="7FA11572"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hyperlink r:id="rId19" w:history="1">
              <w:r w:rsidRPr="00FB6D10">
                <w:rPr>
                  <w:rStyle w:val="Hyperlink"/>
                  <w:rFonts w:asciiTheme="minorHAnsi" w:hAnsiTheme="minorHAnsi" w:cstheme="minorHAnsi"/>
                  <w:color w:val="auto"/>
                  <w:sz w:val="18"/>
                  <w:lang w:val="en-GB"/>
                </w:rPr>
                <w:t>http://www</w:t>
              </w:r>
              <w:r w:rsidRPr="00FB6D10">
                <w:rPr>
                  <w:rStyle w:val="Hyperlink"/>
                  <w:rFonts w:ascii="Calibri" w:hAnsi="Calibri" w:cs="Calibri"/>
                  <w:color w:val="auto"/>
                  <w:sz w:val="18"/>
                  <w:lang w:val="en-GB"/>
                </w:rPr>
                <w:t>.</w:t>
              </w:r>
              <w:r w:rsidRPr="00FB6D10">
                <w:rPr>
                  <w:rStyle w:val="Hyperlink"/>
                  <w:rFonts w:asciiTheme="minorHAnsi" w:hAnsiTheme="minorHAnsi" w:cstheme="minorHAnsi"/>
                  <w:color w:val="auto"/>
                  <w:sz w:val="18"/>
                  <w:lang w:val="en-GB"/>
                </w:rPr>
                <w:t>legislation</w:t>
              </w:r>
              <w:r w:rsidRPr="00FB6D10">
                <w:rPr>
                  <w:rStyle w:val="Hyperlink"/>
                  <w:rFonts w:ascii="Calibri" w:hAnsi="Calibri" w:cs="Calibri"/>
                  <w:color w:val="auto"/>
                  <w:sz w:val="18"/>
                  <w:lang w:val="en-GB"/>
                </w:rPr>
                <w:t>.</w:t>
              </w:r>
              <w:r w:rsidRPr="00FB6D10">
                <w:rPr>
                  <w:rStyle w:val="Hyperlink"/>
                  <w:rFonts w:asciiTheme="minorHAnsi" w:hAnsiTheme="minorHAnsi" w:cstheme="minorHAnsi"/>
                  <w:color w:val="auto"/>
                  <w:sz w:val="18"/>
                  <w:lang w:val="en-GB"/>
                </w:rPr>
                <w:t>gov</w:t>
              </w:r>
              <w:r w:rsidRPr="00FB6D10">
                <w:rPr>
                  <w:rStyle w:val="Hyperlink"/>
                  <w:rFonts w:ascii="Calibri" w:hAnsi="Calibri" w:cs="Calibri"/>
                  <w:color w:val="auto"/>
                  <w:sz w:val="18"/>
                  <w:lang w:val="en-GB"/>
                </w:rPr>
                <w:t>.</w:t>
              </w:r>
              <w:r w:rsidRPr="00FB6D10">
                <w:rPr>
                  <w:rStyle w:val="Hyperlink"/>
                  <w:rFonts w:asciiTheme="minorHAnsi" w:hAnsiTheme="minorHAnsi" w:cstheme="minorHAnsi"/>
                  <w:color w:val="auto"/>
                  <w:sz w:val="18"/>
                  <w:lang w:val="en-GB"/>
                </w:rPr>
                <w:t>uk/ukpga/1989/41/contents</w:t>
              </w:r>
            </w:hyperlink>
            <w:r w:rsidRPr="00FB6D10">
              <w:rPr>
                <w:rFonts w:asciiTheme="minorHAnsi" w:hAnsiTheme="minorHAnsi" w:cstheme="minorHAnsi"/>
                <w:sz w:val="18"/>
                <w:lang w:val="en-GB"/>
              </w:rPr>
              <w:t xml:space="preserve"> </w:t>
            </w:r>
          </w:p>
        </w:tc>
      </w:tr>
      <w:tr w:rsidR="00FB6D10" w:rsidRPr="00FB6D10" w14:paraId="6F06EB23"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3A80C4C2"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Care Act 2014</w:t>
            </w:r>
          </w:p>
        </w:tc>
        <w:tc>
          <w:tcPr>
            <w:tcW w:w="6379" w:type="dxa"/>
            <w:tcBorders>
              <w:top w:val="single" w:sz="8" w:space="0" w:color="234585"/>
              <w:left w:val="single" w:sz="18" w:space="0" w:color="FFFFFF"/>
              <w:bottom w:val="single" w:sz="8" w:space="0" w:color="234585"/>
            </w:tcBorders>
            <w:shd w:val="clear" w:color="auto" w:fill="auto"/>
          </w:tcPr>
          <w:p w14:paraId="79092615" w14:textId="77777777" w:rsidR="00CF513D" w:rsidRPr="00FB6D10" w:rsidRDefault="00CF513D" w:rsidP="00372F5B">
            <w:pPr>
              <w:pStyle w:val="TableParagraph"/>
              <w:spacing w:before="0" w:line="240" w:lineRule="auto"/>
              <w:ind w:left="91"/>
            </w:pPr>
            <w:hyperlink r:id="rId20" w:history="1">
              <w:r w:rsidRPr="00FB6D10">
                <w:rPr>
                  <w:rStyle w:val="Hyperlink"/>
                  <w:rFonts w:asciiTheme="minorHAnsi" w:hAnsiTheme="minorHAnsi" w:cstheme="minorHAnsi"/>
                  <w:color w:val="auto"/>
                  <w:sz w:val="18"/>
                  <w:lang w:val="en-GB"/>
                </w:rPr>
                <w:t>https://www.legislation.gov.uk/ukpga/2014/23/contents</w:t>
              </w:r>
            </w:hyperlink>
            <w:r w:rsidRPr="00FB6D10">
              <w:rPr>
                <w:rFonts w:asciiTheme="minorHAnsi" w:hAnsiTheme="minorHAnsi" w:cstheme="minorHAnsi"/>
                <w:sz w:val="18"/>
                <w:lang w:val="en-GB"/>
              </w:rPr>
              <w:t xml:space="preserve"> </w:t>
            </w:r>
          </w:p>
        </w:tc>
      </w:tr>
      <w:tr w:rsidR="00FB6D10" w:rsidRPr="00FB6D10" w14:paraId="54125913"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77779320"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The Children Act 2004</w:t>
            </w:r>
          </w:p>
        </w:tc>
        <w:tc>
          <w:tcPr>
            <w:tcW w:w="6379" w:type="dxa"/>
            <w:tcBorders>
              <w:top w:val="single" w:sz="8" w:space="0" w:color="234585"/>
              <w:left w:val="single" w:sz="18" w:space="0" w:color="FFFFFF"/>
              <w:bottom w:val="single" w:sz="8" w:space="0" w:color="234585"/>
            </w:tcBorders>
            <w:shd w:val="clear" w:color="auto" w:fill="auto"/>
          </w:tcPr>
          <w:p w14:paraId="415424BE"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hyperlink r:id="rId21" w:history="1">
              <w:r w:rsidRPr="00FB6D10">
                <w:rPr>
                  <w:rStyle w:val="Hyperlink"/>
                  <w:rFonts w:asciiTheme="minorHAnsi" w:hAnsiTheme="minorHAnsi" w:cstheme="minorHAnsi"/>
                  <w:color w:val="auto"/>
                  <w:sz w:val="18"/>
                  <w:lang w:val="en-GB"/>
                </w:rPr>
                <w:t>https://www.legislation.gov.uk/ukpga/2004/31/contents</w:t>
              </w:r>
            </w:hyperlink>
            <w:r w:rsidRPr="00FB6D10">
              <w:rPr>
                <w:rFonts w:asciiTheme="minorHAnsi" w:hAnsiTheme="minorHAnsi" w:cstheme="minorHAnsi"/>
                <w:sz w:val="18"/>
                <w:lang w:val="en-GB"/>
              </w:rPr>
              <w:t xml:space="preserve"> </w:t>
            </w:r>
          </w:p>
        </w:tc>
      </w:tr>
      <w:tr w:rsidR="00FB6D10" w:rsidRPr="00FB6D10" w14:paraId="2033409C"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5EF015C0"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Disqualification under the Childcare Act 2006</w:t>
            </w:r>
          </w:p>
        </w:tc>
        <w:tc>
          <w:tcPr>
            <w:tcW w:w="6379" w:type="dxa"/>
            <w:tcBorders>
              <w:top w:val="single" w:sz="8" w:space="0" w:color="234585"/>
              <w:left w:val="single" w:sz="18" w:space="0" w:color="FFFFFF"/>
              <w:bottom w:val="single" w:sz="8" w:space="0" w:color="234585"/>
            </w:tcBorders>
            <w:shd w:val="clear" w:color="auto" w:fill="auto"/>
          </w:tcPr>
          <w:p w14:paraId="3B7F5D83"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hyperlink r:id="rId22" w:history="1">
              <w:r w:rsidRPr="00FB6D10">
                <w:rPr>
                  <w:rStyle w:val="Hyperlink"/>
                  <w:rFonts w:asciiTheme="minorHAnsi" w:hAnsiTheme="minorHAnsi" w:cstheme="minorHAnsi"/>
                  <w:color w:val="auto"/>
                  <w:sz w:val="18"/>
                  <w:lang w:val="en-GB"/>
                </w:rPr>
                <w:t>https://www.gov.uk/government/publications/disqualification-under-the-childcare-act-2006/disqualification-under-the-childcare-act-2006</w:t>
              </w:r>
            </w:hyperlink>
            <w:r w:rsidRPr="00FB6D10">
              <w:rPr>
                <w:rFonts w:asciiTheme="minorHAnsi" w:hAnsiTheme="minorHAnsi" w:cstheme="minorHAnsi"/>
                <w:sz w:val="18"/>
                <w:lang w:val="en-GB"/>
              </w:rPr>
              <w:t xml:space="preserve"> </w:t>
            </w:r>
          </w:p>
        </w:tc>
      </w:tr>
      <w:tr w:rsidR="00FB6D10" w:rsidRPr="00FB6D10" w14:paraId="6B198768"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6942683A"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Rehabilitation of Offenders Act 1974</w:t>
            </w:r>
          </w:p>
        </w:tc>
        <w:tc>
          <w:tcPr>
            <w:tcW w:w="6379" w:type="dxa"/>
            <w:tcBorders>
              <w:top w:val="single" w:sz="8" w:space="0" w:color="234585"/>
              <w:left w:val="single" w:sz="18" w:space="0" w:color="FFFFFF"/>
              <w:bottom w:val="single" w:sz="8" w:space="0" w:color="234585"/>
            </w:tcBorders>
            <w:shd w:val="clear" w:color="auto" w:fill="auto"/>
          </w:tcPr>
          <w:p w14:paraId="33A564D1"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23" w:history="1">
              <w:r w:rsidRPr="00FB6D10">
                <w:rPr>
                  <w:rStyle w:val="Hyperlink"/>
                  <w:rFonts w:asciiTheme="minorHAnsi" w:hAnsiTheme="minorHAnsi" w:cstheme="minorHAnsi"/>
                  <w:color w:val="auto"/>
                  <w:sz w:val="18"/>
                </w:rPr>
                <w:t>https://www.legislation.gov.uk/ukpga/1974/53</w:t>
              </w:r>
            </w:hyperlink>
            <w:r w:rsidRPr="00FB6D10">
              <w:rPr>
                <w:rFonts w:asciiTheme="minorHAnsi" w:hAnsiTheme="minorHAnsi" w:cstheme="minorHAnsi"/>
                <w:sz w:val="18"/>
              </w:rPr>
              <w:t xml:space="preserve"> </w:t>
            </w:r>
          </w:p>
        </w:tc>
      </w:tr>
      <w:tr w:rsidR="00FB6D10" w:rsidRPr="00FB6D10" w14:paraId="2871CF1D"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4D6C86AF"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Counter Terrorism and Security Act 2015 (including the 'Prevent Duty')</w:t>
            </w:r>
          </w:p>
        </w:tc>
        <w:tc>
          <w:tcPr>
            <w:tcW w:w="6379" w:type="dxa"/>
            <w:tcBorders>
              <w:top w:val="single" w:sz="8" w:space="0" w:color="234585"/>
              <w:left w:val="single" w:sz="18" w:space="0" w:color="FFFFFF"/>
              <w:bottom w:val="single" w:sz="8" w:space="0" w:color="234585"/>
            </w:tcBorders>
            <w:shd w:val="clear" w:color="auto" w:fill="auto"/>
          </w:tcPr>
          <w:p w14:paraId="5777C29C"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24" w:history="1">
              <w:r w:rsidRPr="00FB6D10">
                <w:rPr>
                  <w:rStyle w:val="Hyperlink"/>
                  <w:rFonts w:asciiTheme="minorHAnsi" w:hAnsiTheme="minorHAnsi" w:cstheme="minorHAnsi"/>
                  <w:color w:val="auto"/>
                  <w:sz w:val="18"/>
                  <w:lang w:val="en-GB"/>
                </w:rPr>
                <w:t>https://www.legislation.gov.uk/ukpga/2015/6/contents</w:t>
              </w:r>
            </w:hyperlink>
            <w:r w:rsidRPr="00FB6D10">
              <w:rPr>
                <w:rFonts w:asciiTheme="minorHAnsi" w:hAnsiTheme="minorHAnsi" w:cstheme="minorHAnsi"/>
                <w:sz w:val="18"/>
                <w:lang w:val="en-GB"/>
              </w:rPr>
              <w:t xml:space="preserve"> </w:t>
            </w:r>
          </w:p>
        </w:tc>
      </w:tr>
      <w:tr w:rsidR="00FB6D10" w:rsidRPr="00FB6D10" w14:paraId="74385223"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3123495A"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Modern Slavery Act 2015</w:t>
            </w:r>
          </w:p>
        </w:tc>
        <w:tc>
          <w:tcPr>
            <w:tcW w:w="6379" w:type="dxa"/>
            <w:tcBorders>
              <w:top w:val="single" w:sz="8" w:space="0" w:color="234585"/>
              <w:left w:val="single" w:sz="18" w:space="0" w:color="FFFFFF"/>
              <w:bottom w:val="single" w:sz="8" w:space="0" w:color="234585"/>
            </w:tcBorders>
            <w:shd w:val="clear" w:color="auto" w:fill="auto"/>
          </w:tcPr>
          <w:p w14:paraId="31C1D5EA"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25" w:history="1">
              <w:r w:rsidRPr="00FB6D10">
                <w:rPr>
                  <w:rStyle w:val="Hyperlink"/>
                  <w:rFonts w:asciiTheme="minorHAnsi" w:hAnsiTheme="minorHAnsi" w:cstheme="minorHAnsi"/>
                  <w:color w:val="auto"/>
                  <w:sz w:val="18"/>
                  <w:lang w:val="en-GB"/>
                </w:rPr>
                <w:t>https://www.legislation.gov.uk/ukpga/2015/30/contents</w:t>
              </w:r>
            </w:hyperlink>
            <w:r w:rsidRPr="00FB6D10">
              <w:rPr>
                <w:rFonts w:asciiTheme="minorHAnsi" w:hAnsiTheme="minorHAnsi" w:cstheme="minorHAnsi"/>
                <w:sz w:val="18"/>
                <w:lang w:val="en-GB"/>
              </w:rPr>
              <w:t xml:space="preserve"> </w:t>
            </w:r>
          </w:p>
        </w:tc>
      </w:tr>
      <w:tr w:rsidR="00FB6D10" w:rsidRPr="00FB6D10" w14:paraId="5B734F9C"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2FB40AA4"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Human Rights Act 1998</w:t>
            </w:r>
          </w:p>
        </w:tc>
        <w:tc>
          <w:tcPr>
            <w:tcW w:w="6379" w:type="dxa"/>
            <w:tcBorders>
              <w:top w:val="single" w:sz="8" w:space="0" w:color="234585"/>
              <w:left w:val="single" w:sz="18" w:space="0" w:color="FFFFFF"/>
              <w:bottom w:val="single" w:sz="8" w:space="0" w:color="234585"/>
            </w:tcBorders>
            <w:shd w:val="clear" w:color="auto" w:fill="auto"/>
          </w:tcPr>
          <w:p w14:paraId="29090E38"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26" w:history="1">
              <w:r w:rsidRPr="00FB6D10">
                <w:rPr>
                  <w:rStyle w:val="Hyperlink"/>
                  <w:rFonts w:asciiTheme="minorHAnsi" w:hAnsiTheme="minorHAnsi" w:cstheme="minorHAnsi"/>
                  <w:color w:val="auto"/>
                  <w:sz w:val="18"/>
                  <w:lang w:val="en-GB"/>
                </w:rPr>
                <w:t>https://www.legislation.gov.uk/ukpga/1998/42/contents</w:t>
              </w:r>
            </w:hyperlink>
            <w:r w:rsidRPr="00FB6D10">
              <w:rPr>
                <w:rFonts w:asciiTheme="minorHAnsi" w:hAnsiTheme="minorHAnsi" w:cstheme="minorHAnsi"/>
                <w:sz w:val="18"/>
                <w:lang w:val="en-GB"/>
              </w:rPr>
              <w:t xml:space="preserve"> </w:t>
            </w:r>
          </w:p>
        </w:tc>
      </w:tr>
      <w:tr w:rsidR="00FB6D10" w:rsidRPr="00FB6D10" w14:paraId="06C07C27"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71C208A2"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Female Genital Mutilation Act 2003</w:t>
            </w:r>
          </w:p>
        </w:tc>
        <w:tc>
          <w:tcPr>
            <w:tcW w:w="6379" w:type="dxa"/>
            <w:tcBorders>
              <w:top w:val="single" w:sz="8" w:space="0" w:color="234585"/>
              <w:left w:val="single" w:sz="18" w:space="0" w:color="FFFFFF"/>
              <w:bottom w:val="single" w:sz="8" w:space="0" w:color="234585"/>
            </w:tcBorders>
            <w:shd w:val="clear" w:color="auto" w:fill="auto"/>
          </w:tcPr>
          <w:p w14:paraId="3BD21D72"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szCs w:val="18"/>
                <w:lang w:val="en-GB"/>
              </w:rPr>
            </w:pPr>
            <w:hyperlink r:id="rId27" w:history="1">
              <w:r w:rsidRPr="00FB6D10">
                <w:rPr>
                  <w:rStyle w:val="Hyperlink"/>
                  <w:rFonts w:asciiTheme="minorHAnsi" w:hAnsiTheme="minorHAnsi" w:cstheme="minorHAnsi"/>
                  <w:color w:val="auto"/>
                  <w:sz w:val="18"/>
                  <w:szCs w:val="18"/>
                  <w:lang w:val="en-GB"/>
                </w:rPr>
                <w:t>https://www.legislation.gov.uk/ukpga/2003/31/contents</w:t>
              </w:r>
            </w:hyperlink>
            <w:r w:rsidRPr="00FB6D10">
              <w:rPr>
                <w:rFonts w:asciiTheme="minorHAnsi" w:hAnsiTheme="minorHAnsi" w:cstheme="minorHAnsi"/>
                <w:sz w:val="18"/>
                <w:szCs w:val="18"/>
                <w:lang w:val="en-GB"/>
              </w:rPr>
              <w:t xml:space="preserve"> </w:t>
            </w:r>
          </w:p>
        </w:tc>
      </w:tr>
      <w:tr w:rsidR="00FB6D10" w:rsidRPr="00FB6D10" w14:paraId="2AF5A76A"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2167A090" w14:textId="77777777" w:rsidR="00CF513D" w:rsidRPr="00FB6D10" w:rsidRDefault="00CF513D" w:rsidP="00372F5B">
            <w:pPr>
              <w:pStyle w:val="TableParagraph"/>
              <w:spacing w:line="240" w:lineRule="auto"/>
              <w:ind w:left="91"/>
              <w:rPr>
                <w:rFonts w:asciiTheme="minorHAnsi" w:hAnsiTheme="minorHAnsi" w:cstheme="minorHAnsi"/>
                <w:sz w:val="18"/>
              </w:rPr>
            </w:pPr>
            <w:r w:rsidRPr="00FB6D10">
              <w:rPr>
                <w:rFonts w:asciiTheme="minorHAnsi" w:hAnsiTheme="minorHAnsi" w:cstheme="minorHAnsi"/>
                <w:sz w:val="18"/>
              </w:rPr>
              <w:t>Safeguarding Vulnerable Groups Act 2006</w:t>
            </w:r>
          </w:p>
        </w:tc>
        <w:tc>
          <w:tcPr>
            <w:tcW w:w="6379" w:type="dxa"/>
            <w:tcBorders>
              <w:top w:val="single" w:sz="8" w:space="0" w:color="234585"/>
              <w:left w:val="single" w:sz="18" w:space="0" w:color="FFFFFF"/>
              <w:bottom w:val="single" w:sz="8" w:space="0" w:color="234585"/>
            </w:tcBorders>
            <w:shd w:val="clear" w:color="auto" w:fill="auto"/>
          </w:tcPr>
          <w:p w14:paraId="1F87773A"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szCs w:val="18"/>
                <w:lang w:val="en-GB"/>
              </w:rPr>
            </w:pPr>
            <w:hyperlink r:id="rId28" w:history="1">
              <w:r w:rsidRPr="00FB6D10">
                <w:rPr>
                  <w:rStyle w:val="Hyperlink"/>
                  <w:rFonts w:asciiTheme="minorHAnsi" w:hAnsiTheme="minorHAnsi" w:cstheme="minorHAnsi"/>
                  <w:color w:val="auto"/>
                  <w:sz w:val="18"/>
                  <w:szCs w:val="18"/>
                  <w:lang w:val="en-GB"/>
                </w:rPr>
                <w:t>https://www.legislation.gov.uk/ukpga/2006/47/contents</w:t>
              </w:r>
            </w:hyperlink>
            <w:r w:rsidRPr="00FB6D10">
              <w:rPr>
                <w:rFonts w:asciiTheme="minorHAnsi" w:hAnsiTheme="minorHAnsi" w:cstheme="minorHAnsi"/>
                <w:sz w:val="18"/>
                <w:szCs w:val="18"/>
                <w:lang w:val="en-GB"/>
              </w:rPr>
              <w:t xml:space="preserve"> </w:t>
            </w:r>
          </w:p>
        </w:tc>
      </w:tr>
      <w:tr w:rsidR="00FB6D10" w:rsidRPr="00FB6D10" w14:paraId="7C4F9E9F"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2D2461F4"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United Nations Convention on the Rights of the Child (UNCRC) 1989 (Ratified by the UK in 1992)</w:t>
            </w:r>
          </w:p>
        </w:tc>
        <w:tc>
          <w:tcPr>
            <w:tcW w:w="6379" w:type="dxa"/>
            <w:tcBorders>
              <w:top w:val="single" w:sz="8" w:space="0" w:color="234585"/>
              <w:left w:val="single" w:sz="18" w:space="0" w:color="FFFFFF"/>
              <w:bottom w:val="single" w:sz="8" w:space="0" w:color="234585"/>
            </w:tcBorders>
            <w:shd w:val="clear" w:color="auto" w:fill="auto"/>
          </w:tcPr>
          <w:p w14:paraId="67CE9C50"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w:history="1"/>
            <w:r w:rsidRPr="00FB6D10">
              <w:rPr>
                <w:rFonts w:asciiTheme="minorHAnsi" w:hAnsiTheme="minorHAnsi" w:cstheme="minorHAnsi"/>
                <w:sz w:val="18"/>
                <w:lang w:val="en-GB"/>
              </w:rPr>
              <w:t xml:space="preserve"> </w:t>
            </w:r>
            <w:hyperlink r:id="rId29" w:history="1">
              <w:r w:rsidRPr="00FB6D10">
                <w:rPr>
                  <w:rStyle w:val="Hyperlink"/>
                  <w:rFonts w:asciiTheme="minorHAnsi" w:hAnsiTheme="minorHAnsi" w:cstheme="minorHAnsi"/>
                  <w:color w:val="auto"/>
                  <w:sz w:val="18"/>
                  <w:lang w:val="en-GB"/>
                </w:rPr>
                <w:t>https://www.unicef.org.uk/wp-content/uploads/2016/08/unicef-convention-rights-child-uncrc.pdf</w:t>
              </w:r>
            </w:hyperlink>
            <w:r w:rsidRPr="00FB6D10">
              <w:rPr>
                <w:rFonts w:asciiTheme="minorHAnsi" w:hAnsiTheme="minorHAnsi" w:cstheme="minorHAnsi"/>
                <w:sz w:val="18"/>
                <w:lang w:val="en-GB"/>
              </w:rPr>
              <w:t xml:space="preserve"> </w:t>
            </w:r>
          </w:p>
        </w:tc>
      </w:tr>
      <w:tr w:rsidR="00FB6D10" w:rsidRPr="00FB6D10" w14:paraId="5EB02D22"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158539BE"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Working Together to Safeguard Children 2023 (HM Government)</w:t>
            </w:r>
          </w:p>
        </w:tc>
        <w:tc>
          <w:tcPr>
            <w:tcW w:w="6379" w:type="dxa"/>
            <w:tcBorders>
              <w:top w:val="single" w:sz="8" w:space="0" w:color="234585"/>
              <w:left w:val="single" w:sz="18" w:space="0" w:color="FFFFFF"/>
              <w:bottom w:val="single" w:sz="8" w:space="0" w:color="234585"/>
            </w:tcBorders>
            <w:shd w:val="clear" w:color="auto" w:fill="auto"/>
          </w:tcPr>
          <w:p w14:paraId="3304EACB"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30" w:history="1">
              <w:r w:rsidRPr="00FB6D10">
                <w:rPr>
                  <w:rStyle w:val="Hyperlink"/>
                  <w:rFonts w:asciiTheme="minorHAnsi" w:hAnsiTheme="minorHAnsi" w:cstheme="minorHAnsi"/>
                  <w:color w:val="auto"/>
                  <w:sz w:val="18"/>
                  <w:lang w:val="en-GB"/>
                </w:rPr>
                <w:t>https://assets.publishing.service.gov.uk/media/65cb4349a7ded0000c79e4e1/Working_together_to_safeguard_children_2023_-_statutory_guidance.pdf</w:t>
              </w:r>
            </w:hyperlink>
            <w:r w:rsidRPr="00FB6D10">
              <w:rPr>
                <w:rFonts w:asciiTheme="minorHAnsi" w:hAnsiTheme="minorHAnsi" w:cstheme="minorHAnsi"/>
                <w:sz w:val="18"/>
                <w:lang w:val="en-GB"/>
              </w:rPr>
              <w:t xml:space="preserve"> </w:t>
            </w:r>
          </w:p>
        </w:tc>
      </w:tr>
      <w:tr w:rsidR="00FB6D10" w:rsidRPr="00FB6D10" w14:paraId="63F339F4"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27C064D1"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The Prevent Duty - Departmental advice for Schools and Child Care Providers 2015 (Department for Education).</w:t>
            </w:r>
          </w:p>
        </w:tc>
        <w:tc>
          <w:tcPr>
            <w:tcW w:w="6379" w:type="dxa"/>
            <w:tcBorders>
              <w:top w:val="single" w:sz="8" w:space="0" w:color="234585"/>
              <w:left w:val="single" w:sz="18" w:space="0" w:color="FFFFFF"/>
              <w:bottom w:val="single" w:sz="8" w:space="0" w:color="234585"/>
            </w:tcBorders>
            <w:shd w:val="clear" w:color="auto" w:fill="auto"/>
          </w:tcPr>
          <w:p w14:paraId="1AE87C3F"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31" w:history="1">
              <w:r w:rsidRPr="00FB6D10">
                <w:rPr>
                  <w:rStyle w:val="Hyperlink"/>
                  <w:rFonts w:asciiTheme="minorHAnsi" w:hAnsiTheme="minorHAnsi" w:cstheme="minorHAnsi"/>
                  <w:color w:val="auto"/>
                  <w:sz w:val="18"/>
                  <w:lang w:val="en-GB"/>
                </w:rPr>
                <w:t>https://www.towerhamlets.gov.uk/Documents/Children-and-families-services/Early-Years/The_Prevent_duty_advice_for_schools_and_childcare_providers_June_2015.pdf</w:t>
              </w:r>
            </w:hyperlink>
            <w:r w:rsidRPr="00FB6D10">
              <w:rPr>
                <w:rFonts w:asciiTheme="minorHAnsi" w:hAnsiTheme="minorHAnsi" w:cstheme="minorHAnsi"/>
                <w:sz w:val="18"/>
                <w:lang w:val="en-GB"/>
              </w:rPr>
              <w:t xml:space="preserve"> </w:t>
            </w:r>
          </w:p>
        </w:tc>
      </w:tr>
      <w:tr w:rsidR="00FB6D10" w:rsidRPr="00FB6D10" w14:paraId="788E5DBA"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0645CF91" w14:textId="779DC109" w:rsidR="002058D6" w:rsidRPr="00FB6D10" w:rsidRDefault="002058D6"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Care and Support Statutory guidance 2024</w:t>
            </w:r>
          </w:p>
        </w:tc>
        <w:tc>
          <w:tcPr>
            <w:tcW w:w="6379" w:type="dxa"/>
            <w:tcBorders>
              <w:top w:val="single" w:sz="8" w:space="0" w:color="234585"/>
              <w:left w:val="single" w:sz="18" w:space="0" w:color="FFFFFF"/>
              <w:bottom w:val="single" w:sz="8" w:space="0" w:color="234585"/>
            </w:tcBorders>
            <w:shd w:val="clear" w:color="auto" w:fill="auto"/>
          </w:tcPr>
          <w:p w14:paraId="3F3893E4" w14:textId="7F8BC0D2" w:rsidR="002058D6" w:rsidRPr="00FB6D10" w:rsidRDefault="00F76EA1" w:rsidP="00372F5B">
            <w:pPr>
              <w:pStyle w:val="TableParagraph"/>
              <w:tabs>
                <w:tab w:val="left" w:pos="2152"/>
              </w:tabs>
              <w:spacing w:before="0" w:line="240" w:lineRule="auto"/>
              <w:ind w:left="91"/>
            </w:pPr>
            <w:r w:rsidRPr="00FB6D10">
              <w:rPr>
                <w:rStyle w:val="Hyperlink"/>
                <w:rFonts w:asciiTheme="minorHAnsi" w:hAnsiTheme="minorHAnsi" w:cstheme="minorHAnsi"/>
                <w:color w:val="auto"/>
                <w:sz w:val="18"/>
                <w:lang w:val="en-GB"/>
              </w:rPr>
              <w:t>https://www.gov.uk/government/publications/care-act-statutory-guidance/care-and-support-statutory-guidance</w:t>
            </w:r>
          </w:p>
        </w:tc>
      </w:tr>
      <w:tr w:rsidR="00FB6D10" w:rsidRPr="00FB6D10" w14:paraId="2684EF5F"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050320E8"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Guidance for Safer Working Practice for Adults Who Work with Children and Young People (2009)</w:t>
            </w:r>
          </w:p>
        </w:tc>
        <w:tc>
          <w:tcPr>
            <w:tcW w:w="6379" w:type="dxa"/>
            <w:tcBorders>
              <w:top w:val="single" w:sz="8" w:space="0" w:color="234585"/>
              <w:left w:val="single" w:sz="18" w:space="0" w:color="FFFFFF"/>
              <w:bottom w:val="single" w:sz="8" w:space="0" w:color="234585"/>
            </w:tcBorders>
            <w:shd w:val="clear" w:color="auto" w:fill="auto"/>
          </w:tcPr>
          <w:p w14:paraId="641220E5" w14:textId="77777777" w:rsidR="00CF513D" w:rsidRPr="00FB6D10" w:rsidRDefault="00CF513D" w:rsidP="00372F5B">
            <w:pPr>
              <w:pStyle w:val="TableParagraph"/>
              <w:tabs>
                <w:tab w:val="left" w:pos="2152"/>
              </w:tabs>
              <w:spacing w:before="0" w:line="240" w:lineRule="auto"/>
              <w:ind w:left="91"/>
              <w:rPr>
                <w:rFonts w:asciiTheme="minorHAnsi" w:hAnsiTheme="minorHAnsi" w:cstheme="minorHAnsi"/>
                <w:sz w:val="18"/>
                <w:lang w:val="en-GB"/>
              </w:rPr>
            </w:pPr>
            <w:hyperlink r:id="rId32" w:history="1">
              <w:r w:rsidRPr="00FB6D10">
                <w:rPr>
                  <w:rStyle w:val="Hyperlink"/>
                  <w:rFonts w:asciiTheme="minorHAnsi" w:hAnsiTheme="minorHAnsi" w:cstheme="minorHAnsi"/>
                  <w:color w:val="auto"/>
                  <w:sz w:val="18"/>
                  <w:lang w:val="en-GB"/>
                </w:rPr>
                <w:t>https://safeguardingcambspeterborough.org.uk/wp-content/uploads/2015/04/Guidance-for-Safer-Working-Practice-for-Adults-working-with-Children-and-Young-People.pdf</w:t>
              </w:r>
            </w:hyperlink>
            <w:r w:rsidRPr="00FB6D10">
              <w:rPr>
                <w:rFonts w:asciiTheme="minorHAnsi" w:hAnsiTheme="minorHAnsi" w:cstheme="minorHAnsi"/>
                <w:sz w:val="18"/>
                <w:lang w:val="en-GB"/>
              </w:rPr>
              <w:t xml:space="preserve">  </w:t>
            </w:r>
          </w:p>
        </w:tc>
      </w:tr>
      <w:tr w:rsidR="00FB6D10" w:rsidRPr="00FB6D10" w14:paraId="4C8F6519"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54DFE4DB"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Information Sharing: Guidance for practitioners and managers providing safeguarding services 2024 (HM Government).</w:t>
            </w:r>
          </w:p>
        </w:tc>
        <w:tc>
          <w:tcPr>
            <w:tcW w:w="6379" w:type="dxa"/>
            <w:tcBorders>
              <w:top w:val="single" w:sz="8" w:space="0" w:color="234585"/>
              <w:left w:val="single" w:sz="18" w:space="0" w:color="FFFFFF"/>
              <w:bottom w:val="single" w:sz="8" w:space="0" w:color="234585"/>
            </w:tcBorders>
            <w:shd w:val="clear" w:color="auto" w:fill="auto"/>
          </w:tcPr>
          <w:p w14:paraId="2C5B7B21" w14:textId="77777777" w:rsidR="00CF513D" w:rsidRPr="00FB6D10" w:rsidRDefault="00CF513D" w:rsidP="00372F5B">
            <w:pPr>
              <w:pStyle w:val="TableParagraph"/>
              <w:tabs>
                <w:tab w:val="left" w:pos="2152"/>
              </w:tabs>
              <w:spacing w:before="0" w:line="240" w:lineRule="auto"/>
              <w:ind w:left="91"/>
            </w:pPr>
            <w:hyperlink r:id="rId33" w:history="1">
              <w:r w:rsidRPr="00FB6D10">
                <w:rPr>
                  <w:rStyle w:val="Hyperlink"/>
                  <w:rFonts w:asciiTheme="minorHAnsi" w:hAnsiTheme="minorHAnsi" w:cstheme="minorHAnsi"/>
                  <w:color w:val="auto"/>
                  <w:sz w:val="18"/>
                  <w:lang w:val="en-GB"/>
                </w:rPr>
                <w:t>https://assets.publishing.service.gov.uk/media/66320b06c084007696fca731/Info_sharing_advice_content_May_2024.pdf</w:t>
              </w:r>
            </w:hyperlink>
            <w:r w:rsidRPr="00FB6D10">
              <w:rPr>
                <w:rStyle w:val="Hyperlink"/>
                <w:rFonts w:asciiTheme="minorHAnsi" w:hAnsiTheme="minorHAnsi" w:cstheme="minorHAnsi"/>
                <w:color w:val="auto"/>
                <w:sz w:val="18"/>
                <w:lang w:val="en-GB"/>
              </w:rPr>
              <w:t xml:space="preserve"> </w:t>
            </w:r>
          </w:p>
        </w:tc>
      </w:tr>
      <w:tr w:rsidR="00FB6D10" w:rsidRPr="00FB6D10" w14:paraId="5D3966F0"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34264E31" w14:textId="77777777" w:rsidR="00CF513D" w:rsidRPr="00FB6D10" w:rsidRDefault="00CF513D" w:rsidP="00372F5B">
            <w:pPr>
              <w:pStyle w:val="TableParagraph"/>
              <w:ind w:left="91"/>
              <w:rPr>
                <w:rFonts w:asciiTheme="minorHAnsi" w:hAnsiTheme="minorHAnsi" w:cstheme="minorHAnsi"/>
                <w:sz w:val="18"/>
                <w:lang w:val="en-GB"/>
              </w:rPr>
            </w:pPr>
            <w:r w:rsidRPr="00FB6D10">
              <w:rPr>
                <w:rFonts w:asciiTheme="minorHAnsi" w:hAnsiTheme="minorHAnsi" w:cstheme="minorHAnsi"/>
                <w:sz w:val="18"/>
                <w:lang w:val="en-GB"/>
              </w:rPr>
              <w:t>Guidance for safer working practice for those working with children and young people in education settings (Safer Recruitment Consortium)</w:t>
            </w:r>
          </w:p>
        </w:tc>
        <w:tc>
          <w:tcPr>
            <w:tcW w:w="6379" w:type="dxa"/>
            <w:tcBorders>
              <w:top w:val="single" w:sz="8" w:space="0" w:color="234585"/>
              <w:left w:val="single" w:sz="18" w:space="0" w:color="FFFFFF"/>
              <w:bottom w:val="single" w:sz="8" w:space="0" w:color="234585"/>
            </w:tcBorders>
            <w:shd w:val="clear" w:color="auto" w:fill="auto"/>
          </w:tcPr>
          <w:p w14:paraId="3C928D09" w14:textId="77777777" w:rsidR="00CF513D" w:rsidRPr="00FB6D10" w:rsidRDefault="00CF513D" w:rsidP="00372F5B">
            <w:pPr>
              <w:pStyle w:val="TableParagraph"/>
              <w:tabs>
                <w:tab w:val="left" w:pos="2152"/>
              </w:tabs>
              <w:spacing w:before="0" w:line="240" w:lineRule="auto"/>
              <w:ind w:left="91"/>
              <w:rPr>
                <w:rStyle w:val="Hyperlink"/>
                <w:rFonts w:asciiTheme="minorHAnsi" w:hAnsiTheme="minorHAnsi" w:cstheme="minorHAnsi"/>
                <w:color w:val="auto"/>
                <w:sz w:val="18"/>
                <w:lang w:val="en-GB"/>
              </w:rPr>
            </w:pPr>
            <w:hyperlink r:id="rId34" w:history="1">
              <w:r w:rsidRPr="00FB6D10">
                <w:rPr>
                  <w:rStyle w:val="Hyperlink"/>
                  <w:rFonts w:asciiTheme="minorHAnsi" w:hAnsiTheme="minorHAnsi" w:cstheme="minorHAnsi"/>
                  <w:color w:val="auto"/>
                  <w:sz w:val="18"/>
                  <w:lang w:val="en-GB"/>
                </w:rPr>
                <w:t>https://www.saferrecruitmentconsortium.org/_files/ugd/f576a8_0d079cbe69ea458e9e99fe462e447084.pdf</w:t>
              </w:r>
            </w:hyperlink>
            <w:r w:rsidRPr="00FB6D10">
              <w:rPr>
                <w:rStyle w:val="Hyperlink"/>
                <w:rFonts w:asciiTheme="minorHAnsi" w:hAnsiTheme="minorHAnsi" w:cstheme="minorHAnsi"/>
                <w:color w:val="auto"/>
                <w:sz w:val="18"/>
                <w:lang w:val="en-GB"/>
              </w:rPr>
              <w:t xml:space="preserve"> </w:t>
            </w:r>
          </w:p>
        </w:tc>
      </w:tr>
      <w:tr w:rsidR="00FB6D10" w:rsidRPr="00FB6D10" w14:paraId="0C449A29"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7E2EE8C4" w14:textId="77777777" w:rsidR="00CF513D" w:rsidRPr="00FB6D10" w:rsidRDefault="00CF513D" w:rsidP="00372F5B">
            <w:pPr>
              <w:pStyle w:val="TableParagraph"/>
              <w:ind w:left="91"/>
              <w:rPr>
                <w:rFonts w:asciiTheme="minorHAnsi" w:hAnsiTheme="minorHAnsi" w:cstheme="minorHAnsi"/>
                <w:sz w:val="18"/>
                <w:lang w:val="en-GB"/>
              </w:rPr>
            </w:pPr>
            <w:r w:rsidRPr="00FB6D10">
              <w:rPr>
                <w:rFonts w:asciiTheme="minorHAnsi" w:hAnsiTheme="minorHAnsi" w:cstheme="minorHAnsi"/>
                <w:sz w:val="18"/>
                <w:lang w:val="en-GB"/>
              </w:rPr>
              <w:t>What to do if you’re worried a child is being abused - Guidance (HM Government)</w:t>
            </w:r>
          </w:p>
        </w:tc>
        <w:tc>
          <w:tcPr>
            <w:tcW w:w="6379" w:type="dxa"/>
            <w:tcBorders>
              <w:top w:val="single" w:sz="8" w:space="0" w:color="234585"/>
              <w:left w:val="single" w:sz="18" w:space="0" w:color="FFFFFF"/>
              <w:bottom w:val="single" w:sz="8" w:space="0" w:color="234585"/>
            </w:tcBorders>
            <w:shd w:val="clear" w:color="auto" w:fill="auto"/>
          </w:tcPr>
          <w:p w14:paraId="68A49066" w14:textId="77777777" w:rsidR="00CF513D" w:rsidRPr="00FB6D10" w:rsidRDefault="00CF513D" w:rsidP="00372F5B">
            <w:pPr>
              <w:pStyle w:val="TableParagraph"/>
              <w:tabs>
                <w:tab w:val="left" w:pos="2152"/>
              </w:tabs>
              <w:spacing w:before="0" w:line="240" w:lineRule="auto"/>
              <w:ind w:left="91"/>
              <w:rPr>
                <w:rStyle w:val="Hyperlink"/>
                <w:rFonts w:asciiTheme="minorHAnsi" w:hAnsiTheme="minorHAnsi" w:cstheme="minorHAnsi"/>
                <w:color w:val="auto"/>
                <w:sz w:val="18"/>
                <w:lang w:val="en-GB"/>
              </w:rPr>
            </w:pPr>
            <w:hyperlink r:id="rId35" w:history="1">
              <w:r w:rsidRPr="00FB6D10">
                <w:rPr>
                  <w:rStyle w:val="Hyperlink"/>
                  <w:rFonts w:asciiTheme="minorHAnsi" w:hAnsiTheme="minorHAnsi" w:cstheme="minorHAnsi"/>
                  <w:color w:val="auto"/>
                  <w:sz w:val="18"/>
                  <w:lang w:val="en-GB"/>
                </w:rPr>
                <w:t>https://assets.publishing.service.gov.uk/media/5a80597640f0b62302692fa1/What_to_do_if_you_re_worried_a_child_is_being_abused.pdf</w:t>
              </w:r>
            </w:hyperlink>
            <w:r w:rsidRPr="00FB6D10">
              <w:rPr>
                <w:rStyle w:val="Hyperlink"/>
                <w:rFonts w:asciiTheme="minorHAnsi" w:hAnsiTheme="minorHAnsi" w:cstheme="minorHAnsi"/>
                <w:color w:val="auto"/>
                <w:sz w:val="18"/>
                <w:lang w:val="en-GB"/>
              </w:rPr>
              <w:t xml:space="preserve"> </w:t>
            </w:r>
          </w:p>
        </w:tc>
      </w:tr>
      <w:tr w:rsidR="00CF513D" w:rsidRPr="00FB6D10" w14:paraId="3C398C53" w14:textId="77777777" w:rsidTr="00372F5B">
        <w:trPr>
          <w:trHeight w:val="240"/>
        </w:trPr>
        <w:tc>
          <w:tcPr>
            <w:tcW w:w="3119" w:type="dxa"/>
            <w:tcBorders>
              <w:top w:val="single" w:sz="8" w:space="0" w:color="234585"/>
              <w:bottom w:val="single" w:sz="8" w:space="0" w:color="234585"/>
              <w:right w:val="single" w:sz="18" w:space="0" w:color="FFFFFF"/>
            </w:tcBorders>
            <w:shd w:val="clear" w:color="auto" w:fill="auto"/>
          </w:tcPr>
          <w:p w14:paraId="3EDAC919" w14:textId="77777777" w:rsidR="00CF513D" w:rsidRPr="00FB6D10" w:rsidRDefault="00CF513D" w:rsidP="00372F5B">
            <w:pPr>
              <w:pStyle w:val="TableParagraph"/>
              <w:spacing w:before="0" w:line="240" w:lineRule="auto"/>
              <w:ind w:left="91"/>
              <w:rPr>
                <w:rFonts w:asciiTheme="minorHAnsi" w:hAnsiTheme="minorHAnsi" w:cstheme="minorHAnsi"/>
                <w:sz w:val="18"/>
                <w:lang w:val="en-GB"/>
              </w:rPr>
            </w:pPr>
            <w:r w:rsidRPr="00FB6D10">
              <w:rPr>
                <w:rFonts w:asciiTheme="minorHAnsi" w:hAnsiTheme="minorHAnsi" w:cstheme="minorHAnsi"/>
                <w:sz w:val="18"/>
                <w:lang w:val="en-GB"/>
              </w:rPr>
              <w:t>Local Safeguarding Partners/Arrangements</w:t>
            </w:r>
          </w:p>
        </w:tc>
        <w:tc>
          <w:tcPr>
            <w:tcW w:w="6379" w:type="dxa"/>
            <w:tcBorders>
              <w:top w:val="single" w:sz="8" w:space="0" w:color="234585"/>
              <w:left w:val="single" w:sz="18" w:space="0" w:color="FFFFFF"/>
              <w:bottom w:val="single" w:sz="8" w:space="0" w:color="234585"/>
            </w:tcBorders>
            <w:shd w:val="clear" w:color="auto" w:fill="auto"/>
          </w:tcPr>
          <w:p w14:paraId="6A619261" w14:textId="77777777" w:rsidR="00CF513D" w:rsidRPr="00FB6D10" w:rsidRDefault="00CF513D" w:rsidP="00372F5B">
            <w:pPr>
              <w:pStyle w:val="TableParagraph"/>
              <w:tabs>
                <w:tab w:val="left" w:pos="2152"/>
              </w:tabs>
              <w:spacing w:before="0" w:line="240" w:lineRule="auto"/>
              <w:ind w:left="91"/>
            </w:pPr>
            <w:hyperlink r:id="rId36" w:history="1">
              <w:r w:rsidRPr="00FB6D10">
                <w:rPr>
                  <w:rStyle w:val="Hyperlink"/>
                  <w:rFonts w:asciiTheme="minorHAnsi" w:hAnsiTheme="minorHAnsi" w:cstheme="minorHAnsi"/>
                  <w:color w:val="auto"/>
                  <w:sz w:val="18"/>
                  <w:szCs w:val="18"/>
                  <w:lang w:val="en-GB"/>
                </w:rPr>
                <w:t>https://consult.education.gov.uk/child-protection-safeguarding-and-family-law/working-together-to-safeguard-children-revisions-t/supporting_documents/Transitional.pdf</w:t>
              </w:r>
            </w:hyperlink>
          </w:p>
        </w:tc>
      </w:tr>
    </w:tbl>
    <w:p w14:paraId="3C77CBD9" w14:textId="77777777" w:rsidR="0008245C" w:rsidRPr="00FB6D10" w:rsidRDefault="0008245C" w:rsidP="00344E6F"/>
    <w:sectPr w:rsidR="0008245C" w:rsidRPr="00FB6D10" w:rsidSect="00897652">
      <w:footerReference w:type="default" r:id="rId37"/>
      <w:footerReference w:type="first" r:id="rId38"/>
      <w:pgSz w:w="11906" w:h="16838"/>
      <w:pgMar w:top="1440" w:right="1440" w:bottom="1440" w:left="1440"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5C49" w14:textId="77777777" w:rsidR="00CE4877" w:rsidRDefault="00CE4877" w:rsidP="00AD3342">
      <w:r>
        <w:separator/>
      </w:r>
    </w:p>
  </w:endnote>
  <w:endnote w:type="continuationSeparator" w:id="0">
    <w:p w14:paraId="3FAB51FB" w14:textId="77777777" w:rsidR="00CE4877" w:rsidRDefault="00CE4877" w:rsidP="00AD3342">
      <w:r>
        <w:continuationSeparator/>
      </w:r>
    </w:p>
  </w:endnote>
  <w:endnote w:type="continuationNotice" w:id="1">
    <w:p w14:paraId="61D2668C" w14:textId="77777777" w:rsidR="00CE4877" w:rsidRDefault="00CE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9DFA" w14:textId="10850992" w:rsidR="00897652" w:rsidRDefault="00897652" w:rsidP="00FB6D10">
    <w:pPr>
      <w:pStyle w:val="Footer"/>
    </w:pPr>
  </w:p>
  <w:p w14:paraId="73127BCE" w14:textId="77777777" w:rsidR="00C47733" w:rsidRDefault="00C47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9165" w14:textId="0C2C862D" w:rsidR="00EE15F3" w:rsidRDefault="00EE15F3">
    <w:pPr>
      <w:pStyle w:val="Footer"/>
      <w:jc w:val="center"/>
    </w:pPr>
  </w:p>
  <w:p w14:paraId="2B2D93FE" w14:textId="77777777" w:rsidR="002C27DF" w:rsidRDefault="002C2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9DF6" w14:textId="77777777" w:rsidR="00D43E86" w:rsidRPr="00FB6D10" w:rsidRDefault="00D43E86" w:rsidP="00FB6D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37329"/>
      <w:docPartObj>
        <w:docPartGallery w:val="Page Numbers (Bottom of Page)"/>
        <w:docPartUnique/>
      </w:docPartObj>
    </w:sdtPr>
    <w:sdtEndPr>
      <w:rPr>
        <w:noProof/>
      </w:rPr>
    </w:sdtEndPr>
    <w:sdtContent>
      <w:p w14:paraId="45E322A0" w14:textId="77777777" w:rsidR="00897652" w:rsidRPr="00B56234" w:rsidRDefault="00897652" w:rsidP="00897652">
        <w:pPr>
          <w:pStyle w:val="Footer"/>
          <w:tabs>
            <w:tab w:val="clear" w:pos="9026"/>
            <w:tab w:val="right" w:pos="10204"/>
          </w:tabs>
          <w:rPr>
            <w:sz w:val="16"/>
            <w:szCs w:val="16"/>
          </w:rPr>
        </w:pPr>
        <w:r>
          <w:rPr>
            <w:b/>
            <w:i/>
            <w:noProof/>
            <w:color w:val="2B579A"/>
            <w:shd w:val="clear" w:color="auto" w:fill="E6E6E6"/>
            <w:lang w:val="sv-SE" w:eastAsia="sv-SE"/>
          </w:rPr>
          <mc:AlternateContent>
            <mc:Choice Requires="wps">
              <w:drawing>
                <wp:inline distT="0" distB="0" distL="0" distR="0" wp14:anchorId="578CA2DB" wp14:editId="49509BE0">
                  <wp:extent cx="5753597" cy="0"/>
                  <wp:effectExtent l="0" t="19050" r="19050" b="19050"/>
                  <wp:docPr id="1306153828" name="Straight Connector 1306153828"/>
                  <wp:cNvGraphicFramePr/>
                  <a:graphic xmlns:a="http://schemas.openxmlformats.org/drawingml/2006/main">
                    <a:graphicData uri="http://schemas.microsoft.com/office/word/2010/wordprocessingShape">
                      <wps:wsp>
                        <wps:cNvCnPr/>
                        <wps:spPr>
                          <a:xfrm>
                            <a:off x="0" y="0"/>
                            <a:ext cx="5753597" cy="0"/>
                          </a:xfrm>
                          <a:prstGeom prst="line">
                            <a:avLst/>
                          </a:prstGeom>
                          <a:noFill/>
                          <a:ln w="34925" cap="flat" cmpd="sng" algn="ctr">
                            <a:solidFill>
                              <a:srgbClr val="EC7616"/>
                            </a:solidFill>
                            <a:prstDash val="solid"/>
                          </a:ln>
                          <a:effectLst/>
                        </wps:spPr>
                        <wps:bodyPr/>
                      </wps:wsp>
                    </a:graphicData>
                  </a:graphic>
                </wp:inline>
              </w:drawing>
            </mc:Choice>
            <mc:Fallback xmlns:w16du="http://schemas.microsoft.com/office/word/2023/wordml/word16du">
              <w:pict>
                <v:line w14:anchorId="46F23126" id="Straight Connector 1306153828" o:spid="_x0000_s1026"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" strokecolor="#ec7616" strokeweight="2.75pt">
                  <w10:anchorlock/>
                </v:line>
              </w:pict>
            </mc:Fallback>
          </mc:AlternateContent>
        </w:r>
        <w:r w:rsidRPr="00B56234">
          <w:rPr>
            <w:sz w:val="16"/>
            <w:szCs w:val="16"/>
          </w:rPr>
          <w:t xml:space="preserve">© </w:t>
        </w:r>
        <w:r>
          <w:rPr>
            <w:sz w:val="16"/>
            <w:szCs w:val="16"/>
          </w:rPr>
          <w:t>APSCo</w:t>
        </w:r>
        <w:r w:rsidRPr="00B56234">
          <w:rPr>
            <w:sz w:val="16"/>
            <w:szCs w:val="16"/>
          </w:rPr>
          <w:t xml:space="preserve"> </w:t>
        </w:r>
        <w:r>
          <w:rPr>
            <w:sz w:val="16"/>
            <w:szCs w:val="16"/>
          </w:rPr>
          <w:t>September 2023 V4</w:t>
        </w:r>
        <w:r w:rsidRPr="00B56234">
          <w:rPr>
            <w:sz w:val="16"/>
            <w:szCs w:val="16"/>
          </w:rPr>
          <w:tab/>
        </w:r>
        <w:sdt>
          <w:sdtPr>
            <w:rPr>
              <w:color w:val="2B579A"/>
              <w:sz w:val="16"/>
              <w:szCs w:val="16"/>
              <w:shd w:val="clear" w:color="auto" w:fill="E6E6E6"/>
            </w:rPr>
            <w:id w:val="-1674170196"/>
            <w:docPartObj>
              <w:docPartGallery w:val="Page Numbers (Bottom of Page)"/>
              <w:docPartUnique/>
            </w:docPartObj>
          </w:sdtPr>
          <w:sdtEndPr>
            <w:rPr>
              <w:noProof/>
            </w:rPr>
          </w:sdtEndPr>
          <w:sdtContent>
            <w:r>
              <w:rPr>
                <w:noProof/>
                <w:sz w:val="16"/>
                <w:szCs w:val="16"/>
              </w:rPr>
              <w:tab/>
            </w:r>
            <w:r w:rsidRPr="00B56234">
              <w:rPr>
                <w:noProof/>
                <w:sz w:val="16"/>
                <w:szCs w:val="16"/>
              </w:rPr>
              <w:t>The Association of Professional Staffing Companies Limited</w:t>
            </w:r>
          </w:sdtContent>
        </w:sdt>
      </w:p>
      <w:p w14:paraId="35B434C9" w14:textId="77777777" w:rsidR="00897652" w:rsidRPr="001F0C36" w:rsidRDefault="00897652" w:rsidP="00897652">
        <w:pPr>
          <w:pStyle w:val="Footer"/>
          <w:tabs>
            <w:tab w:val="clear" w:pos="9026"/>
          </w:tabs>
          <w:ind w:right="-2"/>
          <w:rPr>
            <w:sz w:val="16"/>
            <w:szCs w:val="16"/>
          </w:rPr>
        </w:pPr>
        <w:r>
          <w:rPr>
            <w:sz w:val="16"/>
            <w:szCs w:val="16"/>
          </w:rPr>
          <w:t>Safeguarding Children and Adults at Risk Policy - Education</w:t>
        </w:r>
        <w:r>
          <w:rPr>
            <w:color w:val="ED7811"/>
            <w:sz w:val="16"/>
            <w:szCs w:val="16"/>
          </w:rPr>
          <w:tab/>
        </w:r>
        <w:r>
          <w:rPr>
            <w:color w:val="ED7811"/>
            <w:sz w:val="16"/>
            <w:szCs w:val="16"/>
          </w:rPr>
          <w:tab/>
        </w:r>
        <w:r>
          <w:rPr>
            <w:color w:val="ED7811"/>
            <w:sz w:val="16"/>
            <w:szCs w:val="16"/>
          </w:rPr>
          <w:tab/>
          <w:t xml:space="preserve">      </w:t>
        </w:r>
        <w:r w:rsidRPr="00B56234">
          <w:rPr>
            <w:color w:val="ED7811"/>
            <w:sz w:val="16"/>
            <w:szCs w:val="16"/>
          </w:rPr>
          <w:t xml:space="preserve">Tel: </w:t>
        </w:r>
        <w:r>
          <w:rPr>
            <w:sz w:val="16"/>
            <w:szCs w:val="16"/>
          </w:rPr>
          <w:t>0203 117 0910</w:t>
        </w:r>
        <w:r w:rsidRPr="00B56234">
          <w:rPr>
            <w:sz w:val="16"/>
            <w:szCs w:val="16"/>
          </w:rPr>
          <w:t xml:space="preserve"> </w:t>
        </w:r>
        <w:r w:rsidRPr="00B56234">
          <w:rPr>
            <w:color w:val="ED7811"/>
            <w:sz w:val="16"/>
            <w:szCs w:val="16"/>
          </w:rPr>
          <w:t xml:space="preserve">Web: </w:t>
        </w:r>
        <w:hyperlink r:id="rId1" w:history="1">
          <w:r w:rsidRPr="00B56234">
            <w:rPr>
              <w:rStyle w:val="Hyperlink"/>
              <w:sz w:val="16"/>
              <w:szCs w:val="16"/>
            </w:rPr>
            <w:t>www.apsco.org</w:t>
          </w:r>
        </w:hyperlink>
      </w:p>
      <w:p w14:paraId="18D5C09D" w14:textId="5D59C2A2" w:rsidR="00897652" w:rsidRDefault="00897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AFDBB" w14:textId="77777777" w:rsidR="00897652" w:rsidRDefault="0089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198" w14:textId="77777777" w:rsidR="00CE4877" w:rsidRDefault="00CE4877" w:rsidP="00AD3342">
      <w:r>
        <w:separator/>
      </w:r>
    </w:p>
  </w:footnote>
  <w:footnote w:type="continuationSeparator" w:id="0">
    <w:p w14:paraId="62567CE2" w14:textId="77777777" w:rsidR="00CE4877" w:rsidRDefault="00CE4877" w:rsidP="00AD3342">
      <w:r>
        <w:continuationSeparator/>
      </w:r>
    </w:p>
  </w:footnote>
  <w:footnote w:type="continuationNotice" w:id="1">
    <w:p w14:paraId="7FD1EEAF" w14:textId="77777777" w:rsidR="00CE4877" w:rsidRDefault="00CE4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5B71" w14:textId="7C46758E" w:rsidR="00C47733" w:rsidRPr="00FB6D10" w:rsidRDefault="00C47733" w:rsidP="00FB6D10">
    <w:pPr>
      <w:tabs>
        <w:tab w:val="left" w:pos="720"/>
        <w:tab w:val="left" w:pos="3450"/>
      </w:tabs>
      <w:rPr>
        <w:rFonts w:ascii="Arial Rounded MT Bold" w:hAnsi="Arial Rounded MT Bold"/>
        <w:b/>
        <w:color w:val="EC7616"/>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CFF16E"/>
    <w:multiLevelType w:val="singleLevel"/>
    <w:tmpl w:val="AD12B4E5"/>
    <w:lvl w:ilvl="0">
      <w:numFmt w:val="decimal"/>
      <w:lvlText w:val="•"/>
      <w:lvlJc w:val="left"/>
    </w:lvl>
  </w:abstractNum>
  <w:abstractNum w:abstractNumId="1" w15:restartNumberingAfterBreak="0">
    <w:nsid w:val="AA96B4D4"/>
    <w:multiLevelType w:val="singleLevel"/>
    <w:tmpl w:val="4941F833"/>
    <w:lvl w:ilvl="0">
      <w:numFmt w:val="decimal"/>
      <w:lvlText w:val="•"/>
      <w:lvlJc w:val="left"/>
    </w:lvl>
  </w:abstractNum>
  <w:abstractNum w:abstractNumId="2" w15:restartNumberingAfterBreak="0">
    <w:nsid w:val="D47D4608"/>
    <w:multiLevelType w:val="singleLevel"/>
    <w:tmpl w:val="E38A3D4D"/>
    <w:lvl w:ilvl="0">
      <w:numFmt w:val="decimal"/>
      <w:lvlText w:val="•"/>
      <w:lvlJc w:val="left"/>
    </w:lvl>
  </w:abstractNum>
  <w:abstractNum w:abstractNumId="3" w15:restartNumberingAfterBreak="0">
    <w:nsid w:val="0116692B"/>
    <w:multiLevelType w:val="hybridMultilevel"/>
    <w:tmpl w:val="93128F0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56366"/>
    <w:multiLevelType w:val="hybridMultilevel"/>
    <w:tmpl w:val="0FE8790E"/>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F5A0C"/>
    <w:multiLevelType w:val="hybridMultilevel"/>
    <w:tmpl w:val="A6385F26"/>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17CF4"/>
    <w:multiLevelType w:val="hybridMultilevel"/>
    <w:tmpl w:val="9D2AC8EE"/>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F5B94"/>
    <w:multiLevelType w:val="hybridMultilevel"/>
    <w:tmpl w:val="7A3E1DE4"/>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1504F"/>
    <w:multiLevelType w:val="hybridMultilevel"/>
    <w:tmpl w:val="3D44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F4D20"/>
    <w:multiLevelType w:val="hybridMultilevel"/>
    <w:tmpl w:val="1F30F5FC"/>
    <w:lvl w:ilvl="0" w:tplc="F56A9D78">
      <w:start w:val="1"/>
      <w:numFmt w:val="bullet"/>
      <w:lvlText w:val=""/>
      <w:lvlJc w:val="left"/>
      <w:pPr>
        <w:ind w:left="1287" w:hanging="360"/>
      </w:pPr>
      <w:rPr>
        <w:rFonts w:ascii="Symbol" w:hAnsi="Symbol" w:hint="default"/>
        <w:color w:val="EC76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6D068F6"/>
    <w:multiLevelType w:val="hybridMultilevel"/>
    <w:tmpl w:val="C8621268"/>
    <w:lvl w:ilvl="0" w:tplc="5CB4015E">
      <w:start w:val="1"/>
      <w:numFmt w:val="lowerLetter"/>
      <w:lvlText w:val="(%1)"/>
      <w:lvlJc w:val="left"/>
      <w:pPr>
        <w:ind w:left="957" w:hanging="39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6EA3B23"/>
    <w:multiLevelType w:val="hybridMultilevel"/>
    <w:tmpl w:val="BE741ECC"/>
    <w:lvl w:ilvl="0" w:tplc="A9300BD2">
      <w:start w:val="1"/>
      <w:numFmt w:val="bullet"/>
      <w:lvlText w:val=""/>
      <w:lvlJc w:val="left"/>
      <w:pPr>
        <w:tabs>
          <w:tab w:val="num" w:pos="720"/>
        </w:tabs>
        <w:ind w:left="720" w:hanging="360"/>
      </w:pPr>
      <w:rPr>
        <w:rFonts w:ascii="Symbol" w:hAnsi="Symbol" w:hint="default"/>
        <w:color w:val="ED781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761AD2"/>
    <w:multiLevelType w:val="hybridMultilevel"/>
    <w:tmpl w:val="D778981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73F7D"/>
    <w:multiLevelType w:val="multilevel"/>
    <w:tmpl w:val="0634657E"/>
    <w:lvl w:ilvl="0">
      <w:start w:val="1"/>
      <w:numFmt w:val="decimal"/>
      <w:pStyle w:val="Heading3"/>
      <w:lvlText w:val="%1."/>
      <w:lvlJc w:val="left"/>
      <w:pPr>
        <w:ind w:left="360" w:hanging="360"/>
      </w:pPr>
      <w:rPr>
        <w:b/>
        <w:bCs/>
        <w:i w:val="0"/>
        <w:iCs w:val="0"/>
        <w:caps w:val="0"/>
        <w:smallCaps w:val="0"/>
        <w:strike w:val="0"/>
        <w:dstrike w:val="0"/>
        <w:outline w:val="0"/>
        <w:shadow w:val="0"/>
        <w:emboss w:val="0"/>
        <w:imprint w:val="0"/>
        <w:noProof w:val="0"/>
        <w:vanish w:val="0"/>
        <w:color w:val="133080"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39648E"/>
    <w:multiLevelType w:val="multilevel"/>
    <w:tmpl w:val="EAFC8E62"/>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43964E4"/>
    <w:multiLevelType w:val="hybridMultilevel"/>
    <w:tmpl w:val="149C25B4"/>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D0EE1"/>
    <w:multiLevelType w:val="multilevel"/>
    <w:tmpl w:val="F6468B7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133080"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4A0E33"/>
    <w:multiLevelType w:val="multilevel"/>
    <w:tmpl w:val="B7247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2C6F26"/>
    <w:multiLevelType w:val="hybridMultilevel"/>
    <w:tmpl w:val="B0A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E348B"/>
    <w:multiLevelType w:val="multilevel"/>
    <w:tmpl w:val="FE2A3C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12F3491"/>
    <w:multiLevelType w:val="singleLevel"/>
    <w:tmpl w:val="E2923D23"/>
    <w:lvl w:ilvl="0">
      <w:numFmt w:val="decimal"/>
      <w:lvlText w:val="•"/>
      <w:lvlJc w:val="left"/>
    </w:lvl>
  </w:abstractNum>
  <w:abstractNum w:abstractNumId="22" w15:restartNumberingAfterBreak="0">
    <w:nsid w:val="33E75B5F"/>
    <w:multiLevelType w:val="hybridMultilevel"/>
    <w:tmpl w:val="EE5E1022"/>
    <w:lvl w:ilvl="0" w:tplc="A9300BD2">
      <w:start w:val="1"/>
      <w:numFmt w:val="bullet"/>
      <w:lvlText w:val=""/>
      <w:lvlJc w:val="left"/>
      <w:pPr>
        <w:tabs>
          <w:tab w:val="num" w:pos="1080"/>
        </w:tabs>
        <w:ind w:left="1080" w:hanging="360"/>
      </w:pPr>
      <w:rPr>
        <w:rFonts w:ascii="Symbol" w:hAnsi="Symbol" w:hint="default"/>
        <w:color w:val="ED781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571A8B"/>
    <w:multiLevelType w:val="hybridMultilevel"/>
    <w:tmpl w:val="E51890D6"/>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992EB1"/>
    <w:multiLevelType w:val="multilevel"/>
    <w:tmpl w:val="D6424A28"/>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A9479E"/>
    <w:multiLevelType w:val="hybridMultilevel"/>
    <w:tmpl w:val="824409C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22E35"/>
    <w:multiLevelType w:val="multilevel"/>
    <w:tmpl w:val="BF0CE9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390622"/>
    <w:multiLevelType w:val="multilevel"/>
    <w:tmpl w:val="E1A40BF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133080"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6C2977"/>
    <w:multiLevelType w:val="hybridMultilevel"/>
    <w:tmpl w:val="61684CE8"/>
    <w:lvl w:ilvl="0" w:tplc="A9300BD2">
      <w:start w:val="1"/>
      <w:numFmt w:val="bullet"/>
      <w:lvlText w:val=""/>
      <w:lvlJc w:val="left"/>
      <w:pPr>
        <w:tabs>
          <w:tab w:val="num" w:pos="720"/>
        </w:tabs>
        <w:ind w:left="720" w:hanging="360"/>
      </w:pPr>
      <w:rPr>
        <w:rFonts w:ascii="Symbol" w:hAnsi="Symbol" w:hint="default"/>
        <w:color w:val="ED781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2415D"/>
    <w:multiLevelType w:val="hybridMultilevel"/>
    <w:tmpl w:val="8386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96CC9"/>
    <w:multiLevelType w:val="multilevel"/>
    <w:tmpl w:val="60F2A3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CBC1FDD"/>
    <w:multiLevelType w:val="multilevel"/>
    <w:tmpl w:val="4EF220C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F857004"/>
    <w:multiLevelType w:val="hybridMultilevel"/>
    <w:tmpl w:val="476ECC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A91C21"/>
    <w:multiLevelType w:val="multilevel"/>
    <w:tmpl w:val="DB54CEB0"/>
    <w:lvl w:ilvl="0">
      <w:start w:val="1"/>
      <w:numFmt w:val="decimal"/>
      <w:lvlText w:val="%1."/>
      <w:lvlJc w:val="left"/>
      <w:pPr>
        <w:ind w:left="360" w:hanging="360"/>
      </w:p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3A7707"/>
    <w:multiLevelType w:val="hybridMultilevel"/>
    <w:tmpl w:val="38FA5164"/>
    <w:lvl w:ilvl="0" w:tplc="90F205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B248C"/>
    <w:multiLevelType w:val="hybridMultilevel"/>
    <w:tmpl w:val="9FA88D0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D7DF5"/>
    <w:multiLevelType w:val="hybridMultilevel"/>
    <w:tmpl w:val="5060F1D8"/>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B7A08"/>
    <w:multiLevelType w:val="multilevel"/>
    <w:tmpl w:val="C902FB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E74789"/>
    <w:multiLevelType w:val="multilevel"/>
    <w:tmpl w:val="447257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93C47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C03BA"/>
    <w:multiLevelType w:val="multilevel"/>
    <w:tmpl w:val="011E1B72"/>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53085555">
    <w:abstractNumId w:val="22"/>
  </w:num>
  <w:num w:numId="2" w16cid:durableId="1312556988">
    <w:abstractNumId w:val="8"/>
  </w:num>
  <w:num w:numId="3" w16cid:durableId="1639264233">
    <w:abstractNumId w:val="12"/>
  </w:num>
  <w:num w:numId="4" w16cid:durableId="338580889">
    <w:abstractNumId w:val="2"/>
  </w:num>
  <w:num w:numId="5" w16cid:durableId="1506897687">
    <w:abstractNumId w:val="0"/>
  </w:num>
  <w:num w:numId="6" w16cid:durableId="1922325836">
    <w:abstractNumId w:val="21"/>
  </w:num>
  <w:num w:numId="7" w16cid:durableId="74862065">
    <w:abstractNumId w:val="1"/>
  </w:num>
  <w:num w:numId="8" w16cid:durableId="658925924">
    <w:abstractNumId w:val="33"/>
  </w:num>
  <w:num w:numId="9" w16cid:durableId="744494602">
    <w:abstractNumId w:val="11"/>
  </w:num>
  <w:num w:numId="10" w16cid:durableId="1461339209">
    <w:abstractNumId w:val="14"/>
  </w:num>
  <w:num w:numId="11" w16cid:durableId="528223622">
    <w:abstractNumId w:val="30"/>
  </w:num>
  <w:num w:numId="12" w16cid:durableId="474639122">
    <w:abstractNumId w:val="20"/>
  </w:num>
  <w:num w:numId="13" w16cid:durableId="1228146075">
    <w:abstractNumId w:val="39"/>
  </w:num>
  <w:num w:numId="14" w16cid:durableId="474765670">
    <w:abstractNumId w:val="37"/>
  </w:num>
  <w:num w:numId="15" w16cid:durableId="1565414920">
    <w:abstractNumId w:val="18"/>
  </w:num>
  <w:num w:numId="16" w16cid:durableId="1337927303">
    <w:abstractNumId w:val="40"/>
  </w:num>
  <w:num w:numId="17" w16cid:durableId="1683817835">
    <w:abstractNumId w:val="38"/>
  </w:num>
  <w:num w:numId="18" w16cid:durableId="2032800735">
    <w:abstractNumId w:val="26"/>
  </w:num>
  <w:num w:numId="19" w16cid:durableId="1507985154">
    <w:abstractNumId w:val="31"/>
  </w:num>
  <w:num w:numId="20" w16cid:durableId="1519388576">
    <w:abstractNumId w:val="15"/>
  </w:num>
  <w:num w:numId="21" w16cid:durableId="757561642">
    <w:abstractNumId w:val="24"/>
  </w:num>
  <w:num w:numId="22" w16cid:durableId="595019267">
    <w:abstractNumId w:val="32"/>
  </w:num>
  <w:num w:numId="23" w16cid:durableId="1166702445">
    <w:abstractNumId w:val="28"/>
  </w:num>
  <w:num w:numId="24" w16cid:durableId="777411617">
    <w:abstractNumId w:val="29"/>
  </w:num>
  <w:num w:numId="25" w16cid:durableId="1838687241">
    <w:abstractNumId w:val="7"/>
  </w:num>
  <w:num w:numId="26" w16cid:durableId="1999452744">
    <w:abstractNumId w:val="36"/>
  </w:num>
  <w:num w:numId="27" w16cid:durableId="1256093211">
    <w:abstractNumId w:val="16"/>
  </w:num>
  <w:num w:numId="28" w16cid:durableId="164781447">
    <w:abstractNumId w:val="6"/>
  </w:num>
  <w:num w:numId="29" w16cid:durableId="1731420159">
    <w:abstractNumId w:val="4"/>
  </w:num>
  <w:num w:numId="30" w16cid:durableId="441919560">
    <w:abstractNumId w:val="5"/>
  </w:num>
  <w:num w:numId="31" w16cid:durableId="1198085670">
    <w:abstractNumId w:val="13"/>
  </w:num>
  <w:num w:numId="32" w16cid:durableId="1602375621">
    <w:abstractNumId w:val="34"/>
  </w:num>
  <w:num w:numId="33" w16cid:durableId="1960986501">
    <w:abstractNumId w:val="14"/>
  </w:num>
  <w:num w:numId="34" w16cid:durableId="112676933">
    <w:abstractNumId w:val="9"/>
  </w:num>
  <w:num w:numId="35" w16cid:durableId="863783171">
    <w:abstractNumId w:val="3"/>
  </w:num>
  <w:num w:numId="36" w16cid:durableId="1411584903">
    <w:abstractNumId w:val="19"/>
  </w:num>
  <w:num w:numId="37" w16cid:durableId="258216379">
    <w:abstractNumId w:val="17"/>
  </w:num>
  <w:num w:numId="38" w16cid:durableId="1211771320">
    <w:abstractNumId w:val="27"/>
  </w:num>
  <w:num w:numId="39" w16cid:durableId="237447108">
    <w:abstractNumId w:val="25"/>
  </w:num>
  <w:num w:numId="40" w16cid:durableId="541556726">
    <w:abstractNumId w:val="10"/>
  </w:num>
  <w:num w:numId="41" w16cid:durableId="151916819">
    <w:abstractNumId w:val="23"/>
  </w:num>
  <w:num w:numId="42" w16cid:durableId="552347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B1"/>
    <w:rsid w:val="000017F8"/>
    <w:rsid w:val="00002580"/>
    <w:rsid w:val="0000479F"/>
    <w:rsid w:val="00004B5C"/>
    <w:rsid w:val="00006494"/>
    <w:rsid w:val="00006EA9"/>
    <w:rsid w:val="00007B49"/>
    <w:rsid w:val="00007F18"/>
    <w:rsid w:val="000143B7"/>
    <w:rsid w:val="00014E53"/>
    <w:rsid w:val="00017860"/>
    <w:rsid w:val="00021913"/>
    <w:rsid w:val="00021924"/>
    <w:rsid w:val="00024B7F"/>
    <w:rsid w:val="00026F06"/>
    <w:rsid w:val="000277BA"/>
    <w:rsid w:val="0004025A"/>
    <w:rsid w:val="00041BFD"/>
    <w:rsid w:val="00043963"/>
    <w:rsid w:val="0004560E"/>
    <w:rsid w:val="000456C1"/>
    <w:rsid w:val="000470B1"/>
    <w:rsid w:val="00056F38"/>
    <w:rsid w:val="00061E69"/>
    <w:rsid w:val="000625B8"/>
    <w:rsid w:val="00062C18"/>
    <w:rsid w:val="000631BA"/>
    <w:rsid w:val="0007205D"/>
    <w:rsid w:val="00073FE8"/>
    <w:rsid w:val="0007415D"/>
    <w:rsid w:val="0008245C"/>
    <w:rsid w:val="000838E9"/>
    <w:rsid w:val="00083C90"/>
    <w:rsid w:val="00090C5F"/>
    <w:rsid w:val="00091843"/>
    <w:rsid w:val="00095EA2"/>
    <w:rsid w:val="000A0748"/>
    <w:rsid w:val="000A2C51"/>
    <w:rsid w:val="000A3E7C"/>
    <w:rsid w:val="000A6F75"/>
    <w:rsid w:val="000B055E"/>
    <w:rsid w:val="000B25D0"/>
    <w:rsid w:val="000B7BB3"/>
    <w:rsid w:val="000B7F2C"/>
    <w:rsid w:val="000C400B"/>
    <w:rsid w:val="000C4D56"/>
    <w:rsid w:val="000D0F96"/>
    <w:rsid w:val="000D49F2"/>
    <w:rsid w:val="000E0C0D"/>
    <w:rsid w:val="000E27C5"/>
    <w:rsid w:val="000E46AA"/>
    <w:rsid w:val="000E49BB"/>
    <w:rsid w:val="000F0E18"/>
    <w:rsid w:val="000F2B4E"/>
    <w:rsid w:val="000F3677"/>
    <w:rsid w:val="0011328F"/>
    <w:rsid w:val="00113FCC"/>
    <w:rsid w:val="001149D1"/>
    <w:rsid w:val="00116ADA"/>
    <w:rsid w:val="001226B4"/>
    <w:rsid w:val="00122F72"/>
    <w:rsid w:val="0013146C"/>
    <w:rsid w:val="001316E1"/>
    <w:rsid w:val="00136D96"/>
    <w:rsid w:val="00137165"/>
    <w:rsid w:val="0014731E"/>
    <w:rsid w:val="00147C5A"/>
    <w:rsid w:val="00147C7D"/>
    <w:rsid w:val="00150609"/>
    <w:rsid w:val="00153D99"/>
    <w:rsid w:val="00155EB3"/>
    <w:rsid w:val="0017456A"/>
    <w:rsid w:val="001765ED"/>
    <w:rsid w:val="001838AA"/>
    <w:rsid w:val="00184CE3"/>
    <w:rsid w:val="0018504B"/>
    <w:rsid w:val="0019007C"/>
    <w:rsid w:val="00190388"/>
    <w:rsid w:val="001908BA"/>
    <w:rsid w:val="00190D3D"/>
    <w:rsid w:val="0019276A"/>
    <w:rsid w:val="00197687"/>
    <w:rsid w:val="001A5922"/>
    <w:rsid w:val="001B41F1"/>
    <w:rsid w:val="001B5091"/>
    <w:rsid w:val="001B6957"/>
    <w:rsid w:val="001B7C93"/>
    <w:rsid w:val="001C4B45"/>
    <w:rsid w:val="001C7FDD"/>
    <w:rsid w:val="001D07CD"/>
    <w:rsid w:val="001D17E5"/>
    <w:rsid w:val="001D7D7C"/>
    <w:rsid w:val="001E3C65"/>
    <w:rsid w:val="001F1152"/>
    <w:rsid w:val="001F1BB8"/>
    <w:rsid w:val="001F6136"/>
    <w:rsid w:val="00200AD5"/>
    <w:rsid w:val="0020148C"/>
    <w:rsid w:val="0020154C"/>
    <w:rsid w:val="00203A58"/>
    <w:rsid w:val="00203AC5"/>
    <w:rsid w:val="00204024"/>
    <w:rsid w:val="00204620"/>
    <w:rsid w:val="002058D6"/>
    <w:rsid w:val="00210E4C"/>
    <w:rsid w:val="0021428C"/>
    <w:rsid w:val="0021646F"/>
    <w:rsid w:val="00217FCE"/>
    <w:rsid w:val="00227993"/>
    <w:rsid w:val="002312C1"/>
    <w:rsid w:val="00233433"/>
    <w:rsid w:val="00234CFA"/>
    <w:rsid w:val="00236833"/>
    <w:rsid w:val="002453A4"/>
    <w:rsid w:val="002473E1"/>
    <w:rsid w:val="00251709"/>
    <w:rsid w:val="0025182A"/>
    <w:rsid w:val="002536CB"/>
    <w:rsid w:val="002574BE"/>
    <w:rsid w:val="00264A37"/>
    <w:rsid w:val="002658A6"/>
    <w:rsid w:val="00270949"/>
    <w:rsid w:val="00272E30"/>
    <w:rsid w:val="00273B98"/>
    <w:rsid w:val="00281927"/>
    <w:rsid w:val="00287DF0"/>
    <w:rsid w:val="00292C51"/>
    <w:rsid w:val="002939F0"/>
    <w:rsid w:val="002954FC"/>
    <w:rsid w:val="0029704C"/>
    <w:rsid w:val="002A2EA9"/>
    <w:rsid w:val="002A32EA"/>
    <w:rsid w:val="002A5DD3"/>
    <w:rsid w:val="002A5E74"/>
    <w:rsid w:val="002B49D7"/>
    <w:rsid w:val="002B64F4"/>
    <w:rsid w:val="002C27B3"/>
    <w:rsid w:val="002C27DF"/>
    <w:rsid w:val="002C2CB0"/>
    <w:rsid w:val="002C3236"/>
    <w:rsid w:val="002C3DDB"/>
    <w:rsid w:val="002D0BBE"/>
    <w:rsid w:val="002E6043"/>
    <w:rsid w:val="002E6D05"/>
    <w:rsid w:val="002F7D44"/>
    <w:rsid w:val="00303B4A"/>
    <w:rsid w:val="00313D88"/>
    <w:rsid w:val="00316F37"/>
    <w:rsid w:val="0031716A"/>
    <w:rsid w:val="00317990"/>
    <w:rsid w:val="003221C6"/>
    <w:rsid w:val="00322FD9"/>
    <w:rsid w:val="003245C1"/>
    <w:rsid w:val="00325778"/>
    <w:rsid w:val="00326DC7"/>
    <w:rsid w:val="00332FB9"/>
    <w:rsid w:val="00332FE7"/>
    <w:rsid w:val="0033385F"/>
    <w:rsid w:val="00336237"/>
    <w:rsid w:val="00336C09"/>
    <w:rsid w:val="00340F54"/>
    <w:rsid w:val="00344E6F"/>
    <w:rsid w:val="00345029"/>
    <w:rsid w:val="003472A1"/>
    <w:rsid w:val="003519F2"/>
    <w:rsid w:val="003546F6"/>
    <w:rsid w:val="003551E6"/>
    <w:rsid w:val="003558AF"/>
    <w:rsid w:val="003559DE"/>
    <w:rsid w:val="00355A8C"/>
    <w:rsid w:val="00360E7C"/>
    <w:rsid w:val="00365029"/>
    <w:rsid w:val="00367356"/>
    <w:rsid w:val="0037140D"/>
    <w:rsid w:val="00380136"/>
    <w:rsid w:val="003A0287"/>
    <w:rsid w:val="003A1ADE"/>
    <w:rsid w:val="003A38E7"/>
    <w:rsid w:val="003A3B87"/>
    <w:rsid w:val="003A7B03"/>
    <w:rsid w:val="003B3583"/>
    <w:rsid w:val="003C0B2F"/>
    <w:rsid w:val="003C3103"/>
    <w:rsid w:val="003C4E4E"/>
    <w:rsid w:val="003D2F18"/>
    <w:rsid w:val="003D6384"/>
    <w:rsid w:val="003E1731"/>
    <w:rsid w:val="003E68B1"/>
    <w:rsid w:val="003F2AE9"/>
    <w:rsid w:val="00404EFC"/>
    <w:rsid w:val="0041153A"/>
    <w:rsid w:val="0041329A"/>
    <w:rsid w:val="0041369F"/>
    <w:rsid w:val="00414150"/>
    <w:rsid w:val="0041497B"/>
    <w:rsid w:val="00415829"/>
    <w:rsid w:val="00416CC9"/>
    <w:rsid w:val="00417A29"/>
    <w:rsid w:val="004203B1"/>
    <w:rsid w:val="00420A7B"/>
    <w:rsid w:val="00420C0B"/>
    <w:rsid w:val="0042430F"/>
    <w:rsid w:val="004355A3"/>
    <w:rsid w:val="00444C83"/>
    <w:rsid w:val="0045069D"/>
    <w:rsid w:val="00453C9D"/>
    <w:rsid w:val="00456359"/>
    <w:rsid w:val="004617B9"/>
    <w:rsid w:val="004629D4"/>
    <w:rsid w:val="0046469F"/>
    <w:rsid w:val="00473DC1"/>
    <w:rsid w:val="00474F34"/>
    <w:rsid w:val="00483B36"/>
    <w:rsid w:val="0048508D"/>
    <w:rsid w:val="00485897"/>
    <w:rsid w:val="00485920"/>
    <w:rsid w:val="004917C6"/>
    <w:rsid w:val="004919F2"/>
    <w:rsid w:val="00494BBF"/>
    <w:rsid w:val="00497C5A"/>
    <w:rsid w:val="00497F69"/>
    <w:rsid w:val="004A0D93"/>
    <w:rsid w:val="004A268E"/>
    <w:rsid w:val="004A3BE8"/>
    <w:rsid w:val="004A63C6"/>
    <w:rsid w:val="004B0C3C"/>
    <w:rsid w:val="004B3D7B"/>
    <w:rsid w:val="004C5E72"/>
    <w:rsid w:val="004D2E52"/>
    <w:rsid w:val="004D3D93"/>
    <w:rsid w:val="004D70B1"/>
    <w:rsid w:val="004D71BB"/>
    <w:rsid w:val="004D772E"/>
    <w:rsid w:val="004E367D"/>
    <w:rsid w:val="004E5FA5"/>
    <w:rsid w:val="004E6695"/>
    <w:rsid w:val="004F6347"/>
    <w:rsid w:val="005014BB"/>
    <w:rsid w:val="00504041"/>
    <w:rsid w:val="00505EA9"/>
    <w:rsid w:val="0051030D"/>
    <w:rsid w:val="00516CB9"/>
    <w:rsid w:val="005277F0"/>
    <w:rsid w:val="00527EC7"/>
    <w:rsid w:val="00530564"/>
    <w:rsid w:val="00534002"/>
    <w:rsid w:val="00534282"/>
    <w:rsid w:val="0053492E"/>
    <w:rsid w:val="005349E2"/>
    <w:rsid w:val="00542E69"/>
    <w:rsid w:val="0054564E"/>
    <w:rsid w:val="00551A4A"/>
    <w:rsid w:val="00552B13"/>
    <w:rsid w:val="005541C1"/>
    <w:rsid w:val="00555C8C"/>
    <w:rsid w:val="00564DF7"/>
    <w:rsid w:val="00567740"/>
    <w:rsid w:val="005716F0"/>
    <w:rsid w:val="005802DE"/>
    <w:rsid w:val="005904C9"/>
    <w:rsid w:val="005A591A"/>
    <w:rsid w:val="005A65B9"/>
    <w:rsid w:val="005B0B8E"/>
    <w:rsid w:val="005B4495"/>
    <w:rsid w:val="005B6A20"/>
    <w:rsid w:val="005D1E5A"/>
    <w:rsid w:val="005D24BD"/>
    <w:rsid w:val="005E0745"/>
    <w:rsid w:val="005E5BDE"/>
    <w:rsid w:val="005E7A51"/>
    <w:rsid w:val="005E7E83"/>
    <w:rsid w:val="00605842"/>
    <w:rsid w:val="006119C3"/>
    <w:rsid w:val="0061501D"/>
    <w:rsid w:val="00616A9F"/>
    <w:rsid w:val="00623EB0"/>
    <w:rsid w:val="00624079"/>
    <w:rsid w:val="006253A5"/>
    <w:rsid w:val="00625905"/>
    <w:rsid w:val="006317D2"/>
    <w:rsid w:val="00632A4F"/>
    <w:rsid w:val="00634931"/>
    <w:rsid w:val="00637DCD"/>
    <w:rsid w:val="006417CE"/>
    <w:rsid w:val="00643D3D"/>
    <w:rsid w:val="0065144E"/>
    <w:rsid w:val="006521D4"/>
    <w:rsid w:val="00652DBA"/>
    <w:rsid w:val="00662CE5"/>
    <w:rsid w:val="00663920"/>
    <w:rsid w:val="0066465F"/>
    <w:rsid w:val="00666571"/>
    <w:rsid w:val="006675B4"/>
    <w:rsid w:val="00670880"/>
    <w:rsid w:val="00672D29"/>
    <w:rsid w:val="006730C4"/>
    <w:rsid w:val="0067324E"/>
    <w:rsid w:val="00680F80"/>
    <w:rsid w:val="006878B0"/>
    <w:rsid w:val="0069388A"/>
    <w:rsid w:val="00697DD8"/>
    <w:rsid w:val="006A15A6"/>
    <w:rsid w:val="006A31DE"/>
    <w:rsid w:val="006B3164"/>
    <w:rsid w:val="006B4E95"/>
    <w:rsid w:val="006B62A3"/>
    <w:rsid w:val="006B65F4"/>
    <w:rsid w:val="006C04D9"/>
    <w:rsid w:val="006C07C7"/>
    <w:rsid w:val="006C1DD6"/>
    <w:rsid w:val="006C29F7"/>
    <w:rsid w:val="006D35E2"/>
    <w:rsid w:val="006D7DA1"/>
    <w:rsid w:val="006E1966"/>
    <w:rsid w:val="006E3AB4"/>
    <w:rsid w:val="006E6136"/>
    <w:rsid w:val="00700647"/>
    <w:rsid w:val="00700807"/>
    <w:rsid w:val="00700966"/>
    <w:rsid w:val="007046C5"/>
    <w:rsid w:val="00705439"/>
    <w:rsid w:val="00710FB1"/>
    <w:rsid w:val="00711A39"/>
    <w:rsid w:val="00712637"/>
    <w:rsid w:val="00720365"/>
    <w:rsid w:val="00722365"/>
    <w:rsid w:val="00727613"/>
    <w:rsid w:val="00733736"/>
    <w:rsid w:val="00735704"/>
    <w:rsid w:val="00743688"/>
    <w:rsid w:val="007444D0"/>
    <w:rsid w:val="00753F86"/>
    <w:rsid w:val="0075597E"/>
    <w:rsid w:val="00760095"/>
    <w:rsid w:val="0076250A"/>
    <w:rsid w:val="007628B8"/>
    <w:rsid w:val="00767F8C"/>
    <w:rsid w:val="00775787"/>
    <w:rsid w:val="00776DB6"/>
    <w:rsid w:val="00777D7A"/>
    <w:rsid w:val="00785479"/>
    <w:rsid w:val="00787403"/>
    <w:rsid w:val="00790DE0"/>
    <w:rsid w:val="0079580E"/>
    <w:rsid w:val="007A679B"/>
    <w:rsid w:val="007A7B14"/>
    <w:rsid w:val="007A7E87"/>
    <w:rsid w:val="007B57A5"/>
    <w:rsid w:val="007C1239"/>
    <w:rsid w:val="007C22EE"/>
    <w:rsid w:val="007C2DF2"/>
    <w:rsid w:val="007D612B"/>
    <w:rsid w:val="007E1134"/>
    <w:rsid w:val="007E3E92"/>
    <w:rsid w:val="007F102D"/>
    <w:rsid w:val="007F3076"/>
    <w:rsid w:val="007F6962"/>
    <w:rsid w:val="00806635"/>
    <w:rsid w:val="0081118B"/>
    <w:rsid w:val="00812FEE"/>
    <w:rsid w:val="00816116"/>
    <w:rsid w:val="00817D82"/>
    <w:rsid w:val="00822ECD"/>
    <w:rsid w:val="00824D35"/>
    <w:rsid w:val="008325FA"/>
    <w:rsid w:val="008359E8"/>
    <w:rsid w:val="008367B8"/>
    <w:rsid w:val="00836D2A"/>
    <w:rsid w:val="00840C86"/>
    <w:rsid w:val="00845013"/>
    <w:rsid w:val="0084587C"/>
    <w:rsid w:val="008470A7"/>
    <w:rsid w:val="00854581"/>
    <w:rsid w:val="00856420"/>
    <w:rsid w:val="008658C0"/>
    <w:rsid w:val="00873A48"/>
    <w:rsid w:val="00875135"/>
    <w:rsid w:val="008770A0"/>
    <w:rsid w:val="008830CD"/>
    <w:rsid w:val="00893210"/>
    <w:rsid w:val="00893BF2"/>
    <w:rsid w:val="00897652"/>
    <w:rsid w:val="008A7141"/>
    <w:rsid w:val="008B57A3"/>
    <w:rsid w:val="008B5EE4"/>
    <w:rsid w:val="008C4263"/>
    <w:rsid w:val="008C49A8"/>
    <w:rsid w:val="008D0217"/>
    <w:rsid w:val="008D3A3A"/>
    <w:rsid w:val="008D4DCE"/>
    <w:rsid w:val="008D563E"/>
    <w:rsid w:val="008E274C"/>
    <w:rsid w:val="008E4DAA"/>
    <w:rsid w:val="008F448C"/>
    <w:rsid w:val="00901AA9"/>
    <w:rsid w:val="00907283"/>
    <w:rsid w:val="009116CD"/>
    <w:rsid w:val="0091260B"/>
    <w:rsid w:val="009132EF"/>
    <w:rsid w:val="00914E36"/>
    <w:rsid w:val="00915631"/>
    <w:rsid w:val="00920624"/>
    <w:rsid w:val="00922F3C"/>
    <w:rsid w:val="009235BB"/>
    <w:rsid w:val="00925161"/>
    <w:rsid w:val="00930D8A"/>
    <w:rsid w:val="00932DD1"/>
    <w:rsid w:val="00935F58"/>
    <w:rsid w:val="00945F8B"/>
    <w:rsid w:val="00946561"/>
    <w:rsid w:val="009466D6"/>
    <w:rsid w:val="00946B8F"/>
    <w:rsid w:val="00947B6B"/>
    <w:rsid w:val="00951B18"/>
    <w:rsid w:val="009530E0"/>
    <w:rsid w:val="00957F47"/>
    <w:rsid w:val="00963F3F"/>
    <w:rsid w:val="009678B1"/>
    <w:rsid w:val="00967CB1"/>
    <w:rsid w:val="0097208B"/>
    <w:rsid w:val="00974211"/>
    <w:rsid w:val="009751BC"/>
    <w:rsid w:val="00981DEB"/>
    <w:rsid w:val="00983202"/>
    <w:rsid w:val="00984894"/>
    <w:rsid w:val="00984B08"/>
    <w:rsid w:val="00987985"/>
    <w:rsid w:val="00987E32"/>
    <w:rsid w:val="00997030"/>
    <w:rsid w:val="009A628E"/>
    <w:rsid w:val="009B13B5"/>
    <w:rsid w:val="009B3216"/>
    <w:rsid w:val="009B4654"/>
    <w:rsid w:val="009C38CB"/>
    <w:rsid w:val="009C5E19"/>
    <w:rsid w:val="009D13E7"/>
    <w:rsid w:val="009D507C"/>
    <w:rsid w:val="009E1B6E"/>
    <w:rsid w:val="009E24CA"/>
    <w:rsid w:val="009F31F8"/>
    <w:rsid w:val="00A06316"/>
    <w:rsid w:val="00A06B58"/>
    <w:rsid w:val="00A1214A"/>
    <w:rsid w:val="00A223F0"/>
    <w:rsid w:val="00A2242E"/>
    <w:rsid w:val="00A2244D"/>
    <w:rsid w:val="00A22BE0"/>
    <w:rsid w:val="00A24018"/>
    <w:rsid w:val="00A25B5C"/>
    <w:rsid w:val="00A32E22"/>
    <w:rsid w:val="00A34A08"/>
    <w:rsid w:val="00A36354"/>
    <w:rsid w:val="00A4150B"/>
    <w:rsid w:val="00A42186"/>
    <w:rsid w:val="00A44485"/>
    <w:rsid w:val="00A456DF"/>
    <w:rsid w:val="00A45CA9"/>
    <w:rsid w:val="00A60997"/>
    <w:rsid w:val="00A62C13"/>
    <w:rsid w:val="00A646A2"/>
    <w:rsid w:val="00A653E0"/>
    <w:rsid w:val="00A67AB6"/>
    <w:rsid w:val="00A71717"/>
    <w:rsid w:val="00A71981"/>
    <w:rsid w:val="00A81700"/>
    <w:rsid w:val="00A8197A"/>
    <w:rsid w:val="00A82C0A"/>
    <w:rsid w:val="00A90D94"/>
    <w:rsid w:val="00A9381E"/>
    <w:rsid w:val="00A94846"/>
    <w:rsid w:val="00AA0C33"/>
    <w:rsid w:val="00AA137E"/>
    <w:rsid w:val="00AA145D"/>
    <w:rsid w:val="00AA1B85"/>
    <w:rsid w:val="00AA259B"/>
    <w:rsid w:val="00AA385C"/>
    <w:rsid w:val="00AB0ED5"/>
    <w:rsid w:val="00AC0565"/>
    <w:rsid w:val="00AC34AA"/>
    <w:rsid w:val="00AD3342"/>
    <w:rsid w:val="00AD4CB7"/>
    <w:rsid w:val="00AD5309"/>
    <w:rsid w:val="00AE604F"/>
    <w:rsid w:val="00AF4B2D"/>
    <w:rsid w:val="00AF6DE0"/>
    <w:rsid w:val="00B10A04"/>
    <w:rsid w:val="00B12192"/>
    <w:rsid w:val="00B26998"/>
    <w:rsid w:val="00B3159B"/>
    <w:rsid w:val="00B33BA7"/>
    <w:rsid w:val="00B436BF"/>
    <w:rsid w:val="00B4372B"/>
    <w:rsid w:val="00B45218"/>
    <w:rsid w:val="00B46D4F"/>
    <w:rsid w:val="00B50602"/>
    <w:rsid w:val="00B5306B"/>
    <w:rsid w:val="00B5366D"/>
    <w:rsid w:val="00B56F0D"/>
    <w:rsid w:val="00B57390"/>
    <w:rsid w:val="00B61210"/>
    <w:rsid w:val="00B6438D"/>
    <w:rsid w:val="00B73388"/>
    <w:rsid w:val="00B739A6"/>
    <w:rsid w:val="00B8130B"/>
    <w:rsid w:val="00B91A96"/>
    <w:rsid w:val="00B9471A"/>
    <w:rsid w:val="00B95B03"/>
    <w:rsid w:val="00BA1D93"/>
    <w:rsid w:val="00BB43BB"/>
    <w:rsid w:val="00BC3985"/>
    <w:rsid w:val="00BC3B86"/>
    <w:rsid w:val="00BC5D0C"/>
    <w:rsid w:val="00BC60F0"/>
    <w:rsid w:val="00BD3000"/>
    <w:rsid w:val="00BD6F68"/>
    <w:rsid w:val="00BD6F89"/>
    <w:rsid w:val="00BE01BA"/>
    <w:rsid w:val="00BE25A5"/>
    <w:rsid w:val="00C02A27"/>
    <w:rsid w:val="00C0328B"/>
    <w:rsid w:val="00C035EC"/>
    <w:rsid w:val="00C104D5"/>
    <w:rsid w:val="00C17D65"/>
    <w:rsid w:val="00C20A23"/>
    <w:rsid w:val="00C26624"/>
    <w:rsid w:val="00C26B9A"/>
    <w:rsid w:val="00C30E90"/>
    <w:rsid w:val="00C40621"/>
    <w:rsid w:val="00C435D3"/>
    <w:rsid w:val="00C47733"/>
    <w:rsid w:val="00C552E9"/>
    <w:rsid w:val="00C5684E"/>
    <w:rsid w:val="00C5736B"/>
    <w:rsid w:val="00C620D4"/>
    <w:rsid w:val="00C62D04"/>
    <w:rsid w:val="00C66ABF"/>
    <w:rsid w:val="00C72B2E"/>
    <w:rsid w:val="00C73636"/>
    <w:rsid w:val="00C7686F"/>
    <w:rsid w:val="00C85FAD"/>
    <w:rsid w:val="00C861CC"/>
    <w:rsid w:val="00C87207"/>
    <w:rsid w:val="00C91D01"/>
    <w:rsid w:val="00C91F39"/>
    <w:rsid w:val="00CA055D"/>
    <w:rsid w:val="00CA103C"/>
    <w:rsid w:val="00CA2EF4"/>
    <w:rsid w:val="00CA6B36"/>
    <w:rsid w:val="00CB0038"/>
    <w:rsid w:val="00CB137E"/>
    <w:rsid w:val="00CC1F26"/>
    <w:rsid w:val="00CC305F"/>
    <w:rsid w:val="00CC394B"/>
    <w:rsid w:val="00CC4EE9"/>
    <w:rsid w:val="00CE1EF4"/>
    <w:rsid w:val="00CE4877"/>
    <w:rsid w:val="00CE60AF"/>
    <w:rsid w:val="00CF0E85"/>
    <w:rsid w:val="00CF513D"/>
    <w:rsid w:val="00CF6E87"/>
    <w:rsid w:val="00D02AE0"/>
    <w:rsid w:val="00D122AA"/>
    <w:rsid w:val="00D13461"/>
    <w:rsid w:val="00D20CA6"/>
    <w:rsid w:val="00D211F1"/>
    <w:rsid w:val="00D21281"/>
    <w:rsid w:val="00D21FDA"/>
    <w:rsid w:val="00D261D5"/>
    <w:rsid w:val="00D27A7A"/>
    <w:rsid w:val="00D35857"/>
    <w:rsid w:val="00D43E86"/>
    <w:rsid w:val="00D45477"/>
    <w:rsid w:val="00D4772B"/>
    <w:rsid w:val="00D50B54"/>
    <w:rsid w:val="00D530F8"/>
    <w:rsid w:val="00D5404C"/>
    <w:rsid w:val="00D55760"/>
    <w:rsid w:val="00D57A3F"/>
    <w:rsid w:val="00D60DA0"/>
    <w:rsid w:val="00D60DCC"/>
    <w:rsid w:val="00D6205A"/>
    <w:rsid w:val="00D75A55"/>
    <w:rsid w:val="00D76F98"/>
    <w:rsid w:val="00D83071"/>
    <w:rsid w:val="00D86A19"/>
    <w:rsid w:val="00D96513"/>
    <w:rsid w:val="00D96D60"/>
    <w:rsid w:val="00D971D6"/>
    <w:rsid w:val="00DA0042"/>
    <w:rsid w:val="00DA20DA"/>
    <w:rsid w:val="00DA2888"/>
    <w:rsid w:val="00DA3B01"/>
    <w:rsid w:val="00DA5708"/>
    <w:rsid w:val="00DB5C7D"/>
    <w:rsid w:val="00DB7E47"/>
    <w:rsid w:val="00DC111D"/>
    <w:rsid w:val="00DC5407"/>
    <w:rsid w:val="00DD17BA"/>
    <w:rsid w:val="00DD301B"/>
    <w:rsid w:val="00DD60FD"/>
    <w:rsid w:val="00DE0DC7"/>
    <w:rsid w:val="00DE49A2"/>
    <w:rsid w:val="00DE6409"/>
    <w:rsid w:val="00DE74C8"/>
    <w:rsid w:val="00DF1343"/>
    <w:rsid w:val="00DF439D"/>
    <w:rsid w:val="00DF51A8"/>
    <w:rsid w:val="00DF6025"/>
    <w:rsid w:val="00DF6A6C"/>
    <w:rsid w:val="00E0172E"/>
    <w:rsid w:val="00E02D9C"/>
    <w:rsid w:val="00E05D63"/>
    <w:rsid w:val="00E12996"/>
    <w:rsid w:val="00E24CFC"/>
    <w:rsid w:val="00E26798"/>
    <w:rsid w:val="00E33781"/>
    <w:rsid w:val="00E3570F"/>
    <w:rsid w:val="00E36959"/>
    <w:rsid w:val="00E37F43"/>
    <w:rsid w:val="00E45133"/>
    <w:rsid w:val="00E5424B"/>
    <w:rsid w:val="00E623A5"/>
    <w:rsid w:val="00E63489"/>
    <w:rsid w:val="00E639B1"/>
    <w:rsid w:val="00E65AF7"/>
    <w:rsid w:val="00E666E3"/>
    <w:rsid w:val="00E67B83"/>
    <w:rsid w:val="00E71F61"/>
    <w:rsid w:val="00E72197"/>
    <w:rsid w:val="00E72278"/>
    <w:rsid w:val="00E73955"/>
    <w:rsid w:val="00E768A0"/>
    <w:rsid w:val="00E83C48"/>
    <w:rsid w:val="00E854AF"/>
    <w:rsid w:val="00E86E6D"/>
    <w:rsid w:val="00E914E9"/>
    <w:rsid w:val="00E95A8C"/>
    <w:rsid w:val="00EA4B9F"/>
    <w:rsid w:val="00EA700D"/>
    <w:rsid w:val="00EA7CF4"/>
    <w:rsid w:val="00EB2929"/>
    <w:rsid w:val="00EB7908"/>
    <w:rsid w:val="00EC1CDD"/>
    <w:rsid w:val="00EC2BAF"/>
    <w:rsid w:val="00ED22B6"/>
    <w:rsid w:val="00EE15F3"/>
    <w:rsid w:val="00EE217B"/>
    <w:rsid w:val="00EE6B8B"/>
    <w:rsid w:val="00EF13CC"/>
    <w:rsid w:val="00EF366A"/>
    <w:rsid w:val="00EF6E51"/>
    <w:rsid w:val="00EF776E"/>
    <w:rsid w:val="00EF77CF"/>
    <w:rsid w:val="00F004AE"/>
    <w:rsid w:val="00F04FBE"/>
    <w:rsid w:val="00F10FF1"/>
    <w:rsid w:val="00F17CE9"/>
    <w:rsid w:val="00F2047A"/>
    <w:rsid w:val="00F21D49"/>
    <w:rsid w:val="00F25C32"/>
    <w:rsid w:val="00F33731"/>
    <w:rsid w:val="00F37E88"/>
    <w:rsid w:val="00F4215A"/>
    <w:rsid w:val="00F46C1E"/>
    <w:rsid w:val="00F55EDC"/>
    <w:rsid w:val="00F60DBD"/>
    <w:rsid w:val="00F659FF"/>
    <w:rsid w:val="00F70C96"/>
    <w:rsid w:val="00F7302E"/>
    <w:rsid w:val="00F76EA1"/>
    <w:rsid w:val="00F772F6"/>
    <w:rsid w:val="00F8188C"/>
    <w:rsid w:val="00F9224C"/>
    <w:rsid w:val="00F95961"/>
    <w:rsid w:val="00FA0995"/>
    <w:rsid w:val="00FA24B7"/>
    <w:rsid w:val="00FA34AB"/>
    <w:rsid w:val="00FA61B6"/>
    <w:rsid w:val="00FA7031"/>
    <w:rsid w:val="00FB507F"/>
    <w:rsid w:val="00FB6D10"/>
    <w:rsid w:val="00FB6D9B"/>
    <w:rsid w:val="00FC4D79"/>
    <w:rsid w:val="00FC5A3D"/>
    <w:rsid w:val="00FC708D"/>
    <w:rsid w:val="00FC74C0"/>
    <w:rsid w:val="00FD0E23"/>
    <w:rsid w:val="00FD14E1"/>
    <w:rsid w:val="00FE07B6"/>
    <w:rsid w:val="00FF487B"/>
    <w:rsid w:val="00FF5150"/>
    <w:rsid w:val="0420273B"/>
    <w:rsid w:val="049A1992"/>
    <w:rsid w:val="0563034F"/>
    <w:rsid w:val="05EF4D46"/>
    <w:rsid w:val="075E9567"/>
    <w:rsid w:val="078B1DA7"/>
    <w:rsid w:val="08F813D1"/>
    <w:rsid w:val="0EFF4F14"/>
    <w:rsid w:val="15BEC6F1"/>
    <w:rsid w:val="193F2052"/>
    <w:rsid w:val="19BC8340"/>
    <w:rsid w:val="1A472801"/>
    <w:rsid w:val="1AEA985D"/>
    <w:rsid w:val="1BA3B832"/>
    <w:rsid w:val="1D06AD87"/>
    <w:rsid w:val="2230B5B9"/>
    <w:rsid w:val="259DB8DE"/>
    <w:rsid w:val="29FFA8D8"/>
    <w:rsid w:val="2C3AA95D"/>
    <w:rsid w:val="2C4B742D"/>
    <w:rsid w:val="2C620888"/>
    <w:rsid w:val="2F4EF430"/>
    <w:rsid w:val="31BD71A1"/>
    <w:rsid w:val="33E6C748"/>
    <w:rsid w:val="3502DBF8"/>
    <w:rsid w:val="38EDB36B"/>
    <w:rsid w:val="391E4B09"/>
    <w:rsid w:val="3D0A3CDD"/>
    <w:rsid w:val="3FED05D2"/>
    <w:rsid w:val="443AFD48"/>
    <w:rsid w:val="4476CC0E"/>
    <w:rsid w:val="46CD9B2A"/>
    <w:rsid w:val="487EE534"/>
    <w:rsid w:val="4AD0E719"/>
    <w:rsid w:val="51377D7D"/>
    <w:rsid w:val="52EBD025"/>
    <w:rsid w:val="549F26CE"/>
    <w:rsid w:val="55BB6406"/>
    <w:rsid w:val="55BDBE95"/>
    <w:rsid w:val="5CBA050F"/>
    <w:rsid w:val="5D0CE8BD"/>
    <w:rsid w:val="5D9319C3"/>
    <w:rsid w:val="5FDEAACF"/>
    <w:rsid w:val="5FF5609E"/>
    <w:rsid w:val="644DE476"/>
    <w:rsid w:val="668F0B0A"/>
    <w:rsid w:val="6F52F592"/>
    <w:rsid w:val="71EC67DE"/>
    <w:rsid w:val="73DA79F1"/>
    <w:rsid w:val="73EC14EA"/>
    <w:rsid w:val="75ACBF5A"/>
    <w:rsid w:val="790F8E51"/>
    <w:rsid w:val="7C058C76"/>
    <w:rsid w:val="7C8CFA9F"/>
    <w:rsid w:val="7D14296A"/>
    <w:rsid w:val="7FF9F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83307"/>
  <w15:chartTrackingRefBased/>
  <w15:docId w15:val="{BCADB52D-0A8D-419B-B460-D991C536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92E"/>
    <w:pPr>
      <w:spacing w:after="0" w:line="240" w:lineRule="auto"/>
      <w:jc w:val="both"/>
    </w:pPr>
    <w:rPr>
      <w:rFonts w:ascii="Tahoma" w:eastAsia="Times New Roman" w:hAnsi="Tahoma" w:cs="Tahoma"/>
      <w:sz w:val="20"/>
      <w:szCs w:val="20"/>
      <w:lang w:eastAsia="en-GB"/>
    </w:rPr>
  </w:style>
  <w:style w:type="paragraph" w:styleId="Heading1">
    <w:name w:val="heading 1"/>
    <w:basedOn w:val="Normal"/>
    <w:next w:val="Normal"/>
    <w:link w:val="Heading1Char"/>
    <w:uiPriority w:val="9"/>
    <w:qFormat/>
    <w:rsid w:val="000631BA"/>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qFormat/>
    <w:rsid w:val="00FA24B7"/>
    <w:pPr>
      <w:outlineLvl w:val="1"/>
    </w:pPr>
    <w:rPr>
      <w:rFonts w:ascii="Arial Rounded MT Bold" w:hAnsi="Arial Rounded MT Bold"/>
      <w:b/>
      <w:color w:val="ED7811"/>
      <w:sz w:val="28"/>
      <w:szCs w:val="28"/>
    </w:rPr>
  </w:style>
  <w:style w:type="paragraph" w:styleId="Heading3">
    <w:name w:val="heading 3"/>
    <w:basedOn w:val="Normal"/>
    <w:next w:val="Normal"/>
    <w:link w:val="Heading3Char"/>
    <w:qFormat/>
    <w:rsid w:val="00DB5C7D"/>
    <w:pPr>
      <w:numPr>
        <w:numId w:val="10"/>
      </w:numPr>
      <w:spacing w:after="120"/>
      <w:outlineLvl w:val="2"/>
    </w:pPr>
    <w:rPr>
      <w:b/>
      <w:color w:val="133080"/>
    </w:rPr>
  </w:style>
  <w:style w:type="paragraph" w:styleId="Heading4">
    <w:name w:val="heading 4"/>
    <w:basedOn w:val="Normal"/>
    <w:next w:val="Normal"/>
    <w:link w:val="Heading4Char"/>
    <w:uiPriority w:val="9"/>
    <w:unhideWhenUsed/>
    <w:qFormat/>
    <w:rsid w:val="00787403"/>
    <w:pPr>
      <w:keepNext/>
      <w:keepLines/>
      <w:spacing w:before="40"/>
      <w:outlineLvl w:val="3"/>
    </w:pPr>
    <w:rPr>
      <w:rFonts w:eastAsiaTheme="majorEastAsia"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4B7"/>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DB5C7D"/>
    <w:rPr>
      <w:rFonts w:ascii="Tahoma" w:eastAsia="Times New Roman" w:hAnsi="Tahoma" w:cs="Tahoma"/>
      <w:b/>
      <w:color w:val="133080"/>
      <w:sz w:val="20"/>
      <w:szCs w:val="20"/>
      <w:lang w:val="en" w:eastAsia="en-GB"/>
    </w:rPr>
  </w:style>
  <w:style w:type="character" w:customStyle="1" w:styleId="bold2">
    <w:name w:val="bold2"/>
    <w:rsid w:val="003E68B1"/>
    <w:rPr>
      <w:b/>
      <w:bCs/>
    </w:rPr>
  </w:style>
  <w:style w:type="character" w:styleId="Hyperlink">
    <w:name w:val="Hyperlink"/>
    <w:uiPriority w:val="99"/>
    <w:rsid w:val="003E68B1"/>
    <w:rPr>
      <w:color w:val="0000FF"/>
      <w:u w:val="single"/>
    </w:rPr>
  </w:style>
  <w:style w:type="character" w:customStyle="1" w:styleId="Heading4Char">
    <w:name w:val="Heading 4 Char"/>
    <w:basedOn w:val="DefaultParagraphFont"/>
    <w:link w:val="Heading4"/>
    <w:uiPriority w:val="9"/>
    <w:rsid w:val="00787403"/>
    <w:rPr>
      <w:rFonts w:ascii="Tahoma" w:eastAsiaTheme="majorEastAsia" w:hAnsi="Tahoma" w:cstheme="majorBidi"/>
      <w:i/>
      <w:iCs/>
      <w:color w:val="000000" w:themeColor="accent1" w:themeShade="BF"/>
      <w:sz w:val="20"/>
      <w:szCs w:val="20"/>
      <w:lang w:val="en" w:eastAsia="en-GB"/>
    </w:rPr>
  </w:style>
  <w:style w:type="character" w:customStyle="1" w:styleId="UnresolvedMention1">
    <w:name w:val="Unresolved Mention1"/>
    <w:basedOn w:val="DefaultParagraphFont"/>
    <w:uiPriority w:val="99"/>
    <w:semiHidden/>
    <w:unhideWhenUsed/>
    <w:rsid w:val="00EF77CF"/>
    <w:rPr>
      <w:color w:val="605E5C"/>
      <w:shd w:val="clear" w:color="auto" w:fill="E1DFDD"/>
    </w:rPr>
  </w:style>
  <w:style w:type="paragraph" w:styleId="Header">
    <w:name w:val="header"/>
    <w:basedOn w:val="Normal"/>
    <w:link w:val="HeaderChar"/>
    <w:uiPriority w:val="99"/>
    <w:unhideWhenUsed/>
    <w:rsid w:val="00AD3342"/>
    <w:pPr>
      <w:tabs>
        <w:tab w:val="center" w:pos="4513"/>
        <w:tab w:val="right" w:pos="9026"/>
      </w:tabs>
    </w:pPr>
  </w:style>
  <w:style w:type="character" w:customStyle="1" w:styleId="HeaderChar">
    <w:name w:val="Header Char"/>
    <w:basedOn w:val="DefaultParagraphFont"/>
    <w:link w:val="Header"/>
    <w:uiPriority w:val="99"/>
    <w:rsid w:val="00AD3342"/>
    <w:rPr>
      <w:rFonts w:ascii="Tahoma" w:eastAsia="Times New Roman" w:hAnsi="Tahoma" w:cs="Tahoma"/>
      <w:sz w:val="20"/>
      <w:szCs w:val="20"/>
      <w:lang w:val="en" w:eastAsia="en-GB"/>
    </w:rPr>
  </w:style>
  <w:style w:type="paragraph" w:styleId="Footer">
    <w:name w:val="footer"/>
    <w:basedOn w:val="Normal"/>
    <w:link w:val="FooterChar"/>
    <w:uiPriority w:val="99"/>
    <w:unhideWhenUsed/>
    <w:rsid w:val="00AD3342"/>
    <w:pPr>
      <w:tabs>
        <w:tab w:val="center" w:pos="4513"/>
        <w:tab w:val="right" w:pos="9026"/>
      </w:tabs>
    </w:pPr>
  </w:style>
  <w:style w:type="character" w:customStyle="1" w:styleId="FooterChar">
    <w:name w:val="Footer Char"/>
    <w:basedOn w:val="DefaultParagraphFont"/>
    <w:link w:val="Footer"/>
    <w:uiPriority w:val="99"/>
    <w:rsid w:val="00AD3342"/>
    <w:rPr>
      <w:rFonts w:ascii="Tahoma" w:eastAsia="Times New Roman" w:hAnsi="Tahoma" w:cs="Tahoma"/>
      <w:sz w:val="20"/>
      <w:szCs w:val="20"/>
      <w:lang w:val="en" w:eastAsia="en-GB"/>
    </w:rPr>
  </w:style>
  <w:style w:type="table" w:styleId="TableGrid">
    <w:name w:val="Table Grid"/>
    <w:basedOn w:val="TableNormal"/>
    <w:uiPriority w:val="59"/>
    <w:rsid w:val="00AD3342"/>
    <w:pPr>
      <w:spacing w:after="0" w:line="240" w:lineRule="auto"/>
    </w:pPr>
    <w:rPr>
      <w:rFonts w:ascii="Tahoma" w:hAnsi="Tahoma"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6833"/>
    <w:rPr>
      <w:b/>
      <w:color w:val="ED7811"/>
      <w:lang w:eastAsia="en-US"/>
    </w:rPr>
  </w:style>
  <w:style w:type="character" w:customStyle="1" w:styleId="TitleChar">
    <w:name w:val="Title Char"/>
    <w:basedOn w:val="DefaultParagraphFont"/>
    <w:link w:val="Title"/>
    <w:rsid w:val="00236833"/>
    <w:rPr>
      <w:rFonts w:ascii="Tahoma" w:eastAsia="Times New Roman" w:hAnsi="Tahoma" w:cs="Tahoma"/>
      <w:b/>
      <w:color w:val="ED7811"/>
      <w:sz w:val="20"/>
      <w:szCs w:val="20"/>
      <w:lang w:val="en"/>
    </w:rPr>
  </w:style>
  <w:style w:type="paragraph" w:styleId="ListParagraph">
    <w:name w:val="List Paragraph"/>
    <w:basedOn w:val="Normal"/>
    <w:uiPriority w:val="34"/>
    <w:qFormat/>
    <w:rsid w:val="00C40621"/>
    <w:pPr>
      <w:ind w:left="720"/>
    </w:pPr>
    <w:rPr>
      <w:rFonts w:cs="Times New Roman"/>
      <w:szCs w:val="24"/>
      <w:lang w:eastAsia="en-US"/>
    </w:rPr>
  </w:style>
  <w:style w:type="paragraph" w:styleId="NormalWeb">
    <w:name w:val="Normal (Web)"/>
    <w:basedOn w:val="Normal"/>
    <w:uiPriority w:val="99"/>
    <w:rsid w:val="007D612B"/>
    <w:pPr>
      <w:spacing w:before="100" w:beforeAutospacing="1" w:after="100" w:afterAutospacing="1"/>
    </w:pPr>
  </w:style>
  <w:style w:type="paragraph" w:styleId="BodyText">
    <w:name w:val="Body Text"/>
    <w:basedOn w:val="Normal"/>
    <w:link w:val="BodyTextChar"/>
    <w:rsid w:val="000456C1"/>
    <w:rPr>
      <w:lang w:val="en-US" w:eastAsia="en-US"/>
    </w:rPr>
  </w:style>
  <w:style w:type="character" w:customStyle="1" w:styleId="BodyTextChar">
    <w:name w:val="Body Text Char"/>
    <w:basedOn w:val="DefaultParagraphFont"/>
    <w:link w:val="BodyText"/>
    <w:rsid w:val="000456C1"/>
    <w:rPr>
      <w:rFonts w:ascii="Tahoma" w:eastAsia="Times New Roman" w:hAnsi="Tahoma" w:cs="Tahoma"/>
      <w:sz w:val="20"/>
      <w:szCs w:val="20"/>
      <w:lang w:val="en-US"/>
    </w:rPr>
  </w:style>
  <w:style w:type="character" w:styleId="FollowedHyperlink">
    <w:name w:val="FollowedHyperlink"/>
    <w:basedOn w:val="DefaultParagraphFont"/>
    <w:uiPriority w:val="99"/>
    <w:semiHidden/>
    <w:unhideWhenUsed/>
    <w:rsid w:val="00873A48"/>
    <w:rPr>
      <w:color w:val="ED7811" w:themeColor="followedHyperlink"/>
      <w:u w:val="single"/>
    </w:rPr>
  </w:style>
  <w:style w:type="paragraph" w:styleId="BalloonText">
    <w:name w:val="Balloon Text"/>
    <w:basedOn w:val="Normal"/>
    <w:link w:val="BalloonTextChar"/>
    <w:uiPriority w:val="99"/>
    <w:semiHidden/>
    <w:unhideWhenUsed/>
    <w:rsid w:val="00957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47"/>
    <w:rPr>
      <w:rFonts w:ascii="Segoe UI" w:eastAsia="Times New Roman" w:hAnsi="Segoe UI" w:cs="Segoe UI"/>
      <w:sz w:val="18"/>
      <w:szCs w:val="18"/>
      <w:lang w:val="en" w:eastAsia="en-GB"/>
    </w:rPr>
  </w:style>
  <w:style w:type="character" w:styleId="CommentReference">
    <w:name w:val="annotation reference"/>
    <w:basedOn w:val="DefaultParagraphFont"/>
    <w:uiPriority w:val="99"/>
    <w:semiHidden/>
    <w:unhideWhenUsed/>
    <w:rsid w:val="00806635"/>
    <w:rPr>
      <w:sz w:val="16"/>
      <w:szCs w:val="16"/>
    </w:rPr>
  </w:style>
  <w:style w:type="paragraph" w:styleId="CommentText">
    <w:name w:val="annotation text"/>
    <w:basedOn w:val="Normal"/>
    <w:link w:val="CommentTextChar"/>
    <w:uiPriority w:val="99"/>
    <w:unhideWhenUsed/>
    <w:rsid w:val="00806635"/>
  </w:style>
  <w:style w:type="character" w:customStyle="1" w:styleId="CommentTextChar">
    <w:name w:val="Comment Text Char"/>
    <w:basedOn w:val="DefaultParagraphFont"/>
    <w:link w:val="CommentText"/>
    <w:uiPriority w:val="99"/>
    <w:rsid w:val="00806635"/>
    <w:rPr>
      <w:rFonts w:ascii="Tahoma" w:eastAsia="Times New Roman" w:hAnsi="Tahoma" w:cs="Tahoma"/>
      <w:sz w:val="20"/>
      <w:szCs w:val="20"/>
      <w:lang w:val="en" w:eastAsia="en-GB"/>
    </w:rPr>
  </w:style>
  <w:style w:type="paragraph" w:styleId="CommentSubject">
    <w:name w:val="annotation subject"/>
    <w:basedOn w:val="CommentText"/>
    <w:next w:val="CommentText"/>
    <w:link w:val="CommentSubjectChar"/>
    <w:uiPriority w:val="99"/>
    <w:semiHidden/>
    <w:unhideWhenUsed/>
    <w:rsid w:val="00806635"/>
    <w:rPr>
      <w:b/>
      <w:bCs/>
    </w:rPr>
  </w:style>
  <w:style w:type="character" w:customStyle="1" w:styleId="CommentSubjectChar">
    <w:name w:val="Comment Subject Char"/>
    <w:basedOn w:val="CommentTextChar"/>
    <w:link w:val="CommentSubject"/>
    <w:uiPriority w:val="99"/>
    <w:semiHidden/>
    <w:rsid w:val="00806635"/>
    <w:rPr>
      <w:rFonts w:ascii="Tahoma" w:eastAsia="Times New Roman" w:hAnsi="Tahoma" w:cs="Tahoma"/>
      <w:b/>
      <w:bCs/>
      <w:sz w:val="20"/>
      <w:szCs w:val="20"/>
      <w:lang w:val="en" w:eastAsia="en-GB"/>
    </w:rPr>
  </w:style>
  <w:style w:type="character" w:customStyle="1" w:styleId="Heading1Char">
    <w:name w:val="Heading 1 Char"/>
    <w:basedOn w:val="DefaultParagraphFont"/>
    <w:link w:val="Heading1"/>
    <w:uiPriority w:val="9"/>
    <w:rsid w:val="000631BA"/>
    <w:rPr>
      <w:rFonts w:asciiTheme="majorHAnsi" w:eastAsiaTheme="majorEastAsia" w:hAnsiTheme="majorHAnsi" w:cstheme="majorBidi"/>
      <w:color w:val="000000" w:themeColor="accent1" w:themeShade="BF"/>
      <w:sz w:val="32"/>
      <w:szCs w:val="32"/>
      <w:lang w:val="en" w:eastAsia="en-GB"/>
    </w:rPr>
  </w:style>
  <w:style w:type="paragraph" w:styleId="TOCHeading">
    <w:name w:val="TOC Heading"/>
    <w:basedOn w:val="Heading1"/>
    <w:next w:val="Normal"/>
    <w:uiPriority w:val="39"/>
    <w:unhideWhenUsed/>
    <w:qFormat/>
    <w:rsid w:val="000631BA"/>
    <w:pPr>
      <w:spacing w:line="259" w:lineRule="auto"/>
      <w:jc w:val="left"/>
      <w:outlineLvl w:val="9"/>
    </w:pPr>
    <w:rPr>
      <w:lang w:val="en-US" w:eastAsia="en-US"/>
    </w:rPr>
  </w:style>
  <w:style w:type="paragraph" w:styleId="TOC2">
    <w:name w:val="toc 2"/>
    <w:basedOn w:val="Normal"/>
    <w:next w:val="Normal"/>
    <w:autoRedefine/>
    <w:uiPriority w:val="39"/>
    <w:unhideWhenUsed/>
    <w:rsid w:val="00F33731"/>
    <w:pPr>
      <w:tabs>
        <w:tab w:val="right" w:leader="dot" w:pos="9016"/>
      </w:tabs>
      <w:spacing w:after="100"/>
      <w:ind w:left="200"/>
    </w:pPr>
  </w:style>
  <w:style w:type="paragraph" w:styleId="TOC3">
    <w:name w:val="toc 3"/>
    <w:basedOn w:val="Normal"/>
    <w:next w:val="Normal"/>
    <w:autoRedefine/>
    <w:uiPriority w:val="39"/>
    <w:unhideWhenUsed/>
    <w:rsid w:val="00F33731"/>
    <w:pPr>
      <w:tabs>
        <w:tab w:val="left" w:pos="880"/>
        <w:tab w:val="right" w:leader="dot" w:pos="9016"/>
      </w:tabs>
      <w:spacing w:after="100"/>
      <w:ind w:left="400"/>
    </w:pPr>
  </w:style>
  <w:style w:type="paragraph" w:styleId="Revision">
    <w:name w:val="Revision"/>
    <w:hidden/>
    <w:uiPriority w:val="99"/>
    <w:semiHidden/>
    <w:rsid w:val="00F33731"/>
    <w:pPr>
      <w:spacing w:after="0" w:line="240" w:lineRule="auto"/>
    </w:pPr>
    <w:rPr>
      <w:rFonts w:ascii="Tahoma" w:eastAsia="Times New Roman" w:hAnsi="Tahoma" w:cs="Tahoma"/>
      <w:sz w:val="20"/>
      <w:szCs w:val="20"/>
      <w:lang w:val="en" w:eastAsia="en-GB"/>
    </w:rPr>
  </w:style>
  <w:style w:type="character" w:styleId="UnresolvedMention">
    <w:name w:val="Unresolved Mention"/>
    <w:basedOn w:val="DefaultParagraphFont"/>
    <w:uiPriority w:val="99"/>
    <w:rsid w:val="00E768A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0625B8"/>
    <w:pPr>
      <w:spacing w:after="0" w:line="240" w:lineRule="auto"/>
      <w:jc w:val="both"/>
    </w:pPr>
    <w:rPr>
      <w:rFonts w:ascii="Tahoma" w:eastAsia="Times New Roman" w:hAnsi="Tahoma" w:cs="Tahoma"/>
      <w:sz w:val="20"/>
      <w:szCs w:val="20"/>
      <w:lang w:eastAsia="en-GB"/>
    </w:rPr>
  </w:style>
  <w:style w:type="paragraph" w:customStyle="1" w:styleId="APSTITLE">
    <w:name w:val="APS TITLE !"/>
    <w:basedOn w:val="Normal"/>
    <w:link w:val="APSTITLEChar"/>
    <w:qFormat/>
    <w:rsid w:val="00CF513D"/>
    <w:pPr>
      <w:spacing w:after="120"/>
      <w:jc w:val="left"/>
    </w:pPr>
    <w:rPr>
      <w:rFonts w:ascii="Arial Black" w:eastAsiaTheme="minorHAnsi" w:hAnsiTheme="minorHAnsi" w:cstheme="minorBidi"/>
      <w:b/>
      <w:color w:val="F47D28"/>
      <w:sz w:val="26"/>
      <w:szCs w:val="22"/>
      <w:lang w:eastAsia="en-US"/>
    </w:rPr>
  </w:style>
  <w:style w:type="character" w:customStyle="1" w:styleId="APSTITLEChar">
    <w:name w:val="APS TITLE ! Char"/>
    <w:basedOn w:val="DefaultParagraphFont"/>
    <w:link w:val="APSTITLE"/>
    <w:rsid w:val="00CF513D"/>
    <w:rPr>
      <w:rFonts w:ascii="Arial Black"/>
      <w:b/>
      <w:color w:val="F47D28"/>
      <w:sz w:val="26"/>
    </w:rPr>
  </w:style>
  <w:style w:type="paragraph" w:customStyle="1" w:styleId="TableParagraph">
    <w:name w:val="Table Paragraph"/>
    <w:basedOn w:val="Normal"/>
    <w:uiPriority w:val="1"/>
    <w:qFormat/>
    <w:rsid w:val="00CF513D"/>
    <w:pPr>
      <w:widowControl w:val="0"/>
      <w:autoSpaceDE w:val="0"/>
      <w:autoSpaceDN w:val="0"/>
      <w:spacing w:before="2" w:line="235" w:lineRule="exact"/>
      <w:ind w:left="90"/>
      <w:jc w:val="left"/>
    </w:pPr>
    <w:rPr>
      <w:rFonts w:ascii="Verdana" w:eastAsia="Verdana" w:hAnsi="Verdana" w:cs="Verdana"/>
      <w:sz w:val="22"/>
      <w:szCs w:val="22"/>
      <w:lang w:val="en-US" w:eastAsia="en-US"/>
    </w:rPr>
  </w:style>
  <w:style w:type="paragraph" w:styleId="TOC1">
    <w:name w:val="toc 1"/>
    <w:basedOn w:val="Normal"/>
    <w:next w:val="Normal"/>
    <w:autoRedefine/>
    <w:uiPriority w:val="39"/>
    <w:unhideWhenUsed/>
    <w:rsid w:val="00F76EA1"/>
    <w:pPr>
      <w:tabs>
        <w:tab w:val="right" w:leader="dot" w:pos="9016"/>
      </w:tabs>
      <w:spacing w:after="100"/>
    </w:pPr>
    <w:rPr>
      <w:rFonts w:eastAsiaTheme="minorHAnsi"/>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legislation.gov.uk/ukpga/1998/42/contents" TargetMode="External"/><Relationship Id="rId39" Type="http://schemas.openxmlformats.org/officeDocument/2006/relationships/fontTable" Target="fontTable.xml"/><Relationship Id="rId21" Type="http://schemas.openxmlformats.org/officeDocument/2006/relationships/hyperlink" Target="https://www.legislation.gov.uk/ukpga/2004/31/contents" TargetMode="External"/><Relationship Id="rId34" Type="http://schemas.openxmlformats.org/officeDocument/2006/relationships/hyperlink" Target="https://www.saferrecruitmentconsortium.org/_files/ugd/f576a8_0d079cbe69ea458e9e99fe462e447084.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uidance/making-barring-referrals-to-the-dbs" TargetMode="External"/><Relationship Id="rId25" Type="http://schemas.openxmlformats.org/officeDocument/2006/relationships/hyperlink" Target="https://www.legislation.gov.uk/ukpga/2015/30/contents" TargetMode="External"/><Relationship Id="rId33" Type="http://schemas.openxmlformats.org/officeDocument/2006/relationships/hyperlink" Target="https://assets.publishing.service.gov.uk/media/66320b06c084007696fca731/Info_sharing_advice_content_May_2024.pdf"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adult-safeguarding-statement-of-government-policy" TargetMode="External"/><Relationship Id="rId20" Type="http://schemas.openxmlformats.org/officeDocument/2006/relationships/hyperlink" Target="https://www.legislation.gov.uk/ukpga/2014/23/contents" TargetMode="External"/><Relationship Id="rId29" Type="http://schemas.openxmlformats.org/officeDocument/2006/relationships/hyperlink" Target="https://www.unicef.org.uk/wp-content/uploads/2016/08/unicef-convention-rights-child-uncr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uk/ukpga/2015/6/contents" TargetMode="External"/><Relationship Id="rId32" Type="http://schemas.openxmlformats.org/officeDocument/2006/relationships/hyperlink" Target="https://safeguardingcambspeterborough.org.uk/wp-content/uploads/2015/04/Guidance-for-Safer-Working-Practice-for-Adults-working-with-Children-and-Young-People.pdf"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legislation.gov.uk/ukpga/1974/53" TargetMode="External"/><Relationship Id="rId28" Type="http://schemas.openxmlformats.org/officeDocument/2006/relationships/hyperlink" Target="https://www.legislation.gov.uk/ukpga/2006/47/contents" TargetMode="External"/><Relationship Id="rId36" Type="http://schemas.openxmlformats.org/officeDocument/2006/relationships/hyperlink" Target="https://consult.education.gov.uk/child-protection-safeguarding-and-family-law/working-together-to-safeguard-children-revisions-t/supporting_documents/Transitional.pdf" TargetMode="External"/><Relationship Id="rId10" Type="http://schemas.openxmlformats.org/officeDocument/2006/relationships/endnotes" Target="endnotes.xml"/><Relationship Id="rId19" Type="http://schemas.openxmlformats.org/officeDocument/2006/relationships/hyperlink" Target="http://www.legislation.gov.uk/ukpga/1989/41/contents" TargetMode="External"/><Relationship Id="rId31" Type="http://schemas.openxmlformats.org/officeDocument/2006/relationships/hyperlink" Target="https://www.towerhamlets.gov.uk/Documents/Children-and-families-services/Early-Years/The_Prevent_duty_advice_for_schools_and_childcare_providers_June_20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taraprofessionalrecruitment.co.uk" TargetMode="External"/><Relationship Id="rId22" Type="http://schemas.openxmlformats.org/officeDocument/2006/relationships/hyperlink" Target="https://www.gov.uk/government/publications/disqualification-under-the-childcare-act-2006/disqualification-under-the-childcare-act-2006" TargetMode="External"/><Relationship Id="rId27" Type="http://schemas.openxmlformats.org/officeDocument/2006/relationships/hyperlink" Target="https://www.legislation.gov.uk/ukpga/2003/31/contents" TargetMode="External"/><Relationship Id="rId30" Type="http://schemas.openxmlformats.org/officeDocument/2006/relationships/hyperlink" Target="https://assets.publishing.service.gov.uk/media/65cb4349a7ded0000c79e4e1/Working_together_to_safeguard_children_2023_-_statutory_guidance.pdf" TargetMode="External"/><Relationship Id="rId35" Type="http://schemas.openxmlformats.org/officeDocument/2006/relationships/hyperlink" Target="https://assets.publishing.service.gov.uk/media/5a80597640f0b62302692fa1/What_to_do_if_you_re_worried_a_child_is_being_abused.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hyperlink" Target="http://www.apsco.org" TargetMode="External"/></Relationships>
</file>

<file path=word/theme/theme1.xml><?xml version="1.0" encoding="utf-8"?>
<a:theme xmlns:a="http://schemas.openxmlformats.org/drawingml/2006/main" name="Office Theme">
  <a:themeElements>
    <a:clrScheme name="APSCo">
      <a:dk1>
        <a:sysClr val="windowText" lastClr="000000"/>
      </a:dk1>
      <a:lt1>
        <a:sysClr val="window" lastClr="FFFFFF"/>
      </a:lt1>
      <a:dk2>
        <a:srgbClr val="ED7811"/>
      </a:dk2>
      <a:lt2>
        <a:srgbClr val="133080"/>
      </a:lt2>
      <a:accent1>
        <a:srgbClr val="000000"/>
      </a:accent1>
      <a:accent2>
        <a:srgbClr val="133080"/>
      </a:accent2>
      <a:accent3>
        <a:srgbClr val="C7D63E"/>
      </a:accent3>
      <a:accent4>
        <a:srgbClr val="00B8D6"/>
      </a:accent4>
      <a:accent5>
        <a:srgbClr val="FFD540"/>
      </a:accent5>
      <a:accent6>
        <a:srgbClr val="F79646"/>
      </a:accent6>
      <a:hlink>
        <a:srgbClr val="133080"/>
      </a:hlink>
      <a:folHlink>
        <a:srgbClr val="ED781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18" ma:contentTypeDescription="Create a new document." ma:contentTypeScope="" ma:versionID="913ea916ca006c8bfc65e16a0564a04b">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9e7178c8c36b8ca4ad636888a43466a3"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e02021-a766-4037-a2c6-9e20f8417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207840-a057-476e-9ee1-ac7618273870}" ma:internalName="TaxCatchAll" ma:showField="CatchAllData" ma:web="55907ef5-b79d-452c-a558-6c0ce32e7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907ef5-b79d-452c-a558-6c0ce32e714f" xsi:nil="true"/>
    <lcf76f155ced4ddcb4097134ff3c332f xmlns="d44f1cec-f264-49a6-ad6c-5b9be6f852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33B5A-1820-4004-8918-F399DA4E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6570E-4258-4767-9037-322AD7E71939}">
  <ds:schemaRefs>
    <ds:schemaRef ds:uri="http://schemas.openxmlformats.org/officeDocument/2006/bibliography"/>
  </ds:schemaRefs>
</ds:datastoreItem>
</file>

<file path=customXml/itemProps3.xml><?xml version="1.0" encoding="utf-8"?>
<ds:datastoreItem xmlns:ds="http://schemas.openxmlformats.org/officeDocument/2006/customXml" ds:itemID="{B05CA1F7-BA29-4C86-A26F-9884F1FE7D43}">
  <ds:schemaRefs>
    <ds:schemaRef ds:uri="http://schemas.microsoft.com/office/2006/metadata/properties"/>
    <ds:schemaRef ds:uri="http://schemas.microsoft.com/office/infopath/2007/PartnerControls"/>
    <ds:schemaRef ds:uri="55907ef5-b79d-452c-a558-6c0ce32e714f"/>
    <ds:schemaRef ds:uri="d44f1cec-f264-49a6-ad6c-5b9be6f85279"/>
  </ds:schemaRefs>
</ds:datastoreItem>
</file>

<file path=customXml/itemProps4.xml><?xml version="1.0" encoding="utf-8"?>
<ds:datastoreItem xmlns:ds="http://schemas.openxmlformats.org/officeDocument/2006/customXml" ds:itemID="{584730D9-7A13-4118-96B8-C2318BB8F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4728</Words>
  <Characters>26950</Characters>
  <Application>Microsoft Office Word</Application>
  <DocSecurity>0</DocSecurity>
  <Lines>224</Lines>
  <Paragraphs>63</Paragraphs>
  <ScaleCrop>false</ScaleCrop>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Lindeberg</dc:creator>
  <cp:keywords/>
  <dc:description/>
  <cp:lastModifiedBy>Laura Steele</cp:lastModifiedBy>
  <cp:revision>2</cp:revision>
  <cp:lastPrinted>2024-09-13T16:06:00Z</cp:lastPrinted>
  <dcterms:created xsi:type="dcterms:W3CDTF">2024-10-04T12:05:00Z</dcterms:created>
  <dcterms:modified xsi:type="dcterms:W3CDTF">2024-10-04T12:05:00Z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y fmtid="{D5CDD505-2E9C-101B-9397-08002B2CF9AE}" pid="3" name="MediaServiceImageTags">
    <vt:lpwstr/>
  </property>
</Properties>
</file>